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05E" w:rsidRPr="000C405E" w:rsidRDefault="000C405E" w:rsidP="000C405E">
      <w:pPr>
        <w:widowControl/>
        <w:shd w:val="clear" w:color="auto" w:fill="FEFEFE"/>
        <w:spacing w:line="480" w:lineRule="atLeast"/>
        <w:jc w:val="left"/>
        <w:rPr>
          <w:rFonts w:ascii="Arial" w:eastAsia="宋体" w:hAnsi="Arial" w:cs="Arial"/>
          <w:color w:val="333333"/>
          <w:kern w:val="0"/>
          <w:sz w:val="18"/>
          <w:szCs w:val="18"/>
        </w:rPr>
      </w:pPr>
      <w:proofErr w:type="gramStart"/>
      <w:r w:rsidRPr="000C405E">
        <w:rPr>
          <w:rFonts w:ascii="Arial" w:eastAsia="宋体" w:hAnsi="Arial" w:cs="Arial"/>
          <w:b/>
          <w:bCs/>
          <w:color w:val="AC1816"/>
          <w:kern w:val="0"/>
          <w:sz w:val="18"/>
        </w:rPr>
        <w:t>金百临</w:t>
      </w:r>
      <w:r w:rsidRPr="000C405E">
        <w:rPr>
          <w:rFonts w:ascii="Arial" w:eastAsia="宋体" w:hAnsi="Arial" w:cs="Arial"/>
          <w:b/>
          <w:bCs/>
          <w:color w:val="AC1816"/>
          <w:kern w:val="0"/>
          <w:sz w:val="18"/>
        </w:rPr>
        <w:t>2</w:t>
      </w:r>
      <w:r w:rsidRPr="000C405E">
        <w:rPr>
          <w:rFonts w:ascii="Arial" w:eastAsia="宋体" w:hAnsi="Arial" w:cs="Arial"/>
          <w:b/>
          <w:bCs/>
          <w:color w:val="AC1816"/>
          <w:kern w:val="0"/>
          <w:sz w:val="18"/>
        </w:rPr>
        <w:t>号</w:t>
      </w:r>
      <w:proofErr w:type="gramEnd"/>
      <w:r w:rsidRPr="000C405E">
        <w:rPr>
          <w:rFonts w:ascii="Arial" w:eastAsia="宋体" w:hAnsi="Arial" w:cs="Arial"/>
          <w:color w:val="9E9E9E"/>
          <w:kern w:val="0"/>
          <w:sz w:val="18"/>
          <w:szCs w:val="18"/>
          <w:shd w:val="clear" w:color="auto" w:fill="FFFFFF"/>
        </w:rPr>
        <w:t>当前位置：</w:t>
      </w:r>
      <w:hyperlink r:id="rId6" w:history="1">
        <w:r w:rsidRPr="000C405E">
          <w:rPr>
            <w:rFonts w:ascii="Arial" w:eastAsia="宋体" w:hAnsi="Arial" w:cs="Arial"/>
            <w:color w:val="9E9E9E"/>
            <w:kern w:val="0"/>
            <w:sz w:val="18"/>
            <w:szCs w:val="18"/>
          </w:rPr>
          <w:t>首页</w:t>
        </w:r>
        <w:r w:rsidRPr="000C405E">
          <w:rPr>
            <w:rFonts w:ascii="Arial" w:eastAsia="宋体" w:hAnsi="Arial" w:cs="Arial"/>
            <w:color w:val="9E9E9E"/>
            <w:kern w:val="0"/>
            <w:sz w:val="18"/>
            <w:szCs w:val="18"/>
          </w:rPr>
          <w:t> </w:t>
        </w:r>
      </w:hyperlink>
      <w:r w:rsidRPr="000C405E">
        <w:rPr>
          <w:rFonts w:ascii="Arial" w:eastAsia="宋体" w:hAnsi="Arial" w:cs="Arial"/>
          <w:color w:val="9E9E9E"/>
          <w:kern w:val="0"/>
          <w:sz w:val="18"/>
          <w:szCs w:val="18"/>
          <w:shd w:val="clear" w:color="auto" w:fill="FFFFFF"/>
        </w:rPr>
        <w:t>-</w:t>
      </w:r>
      <w:r w:rsidRPr="000C405E">
        <w:rPr>
          <w:rFonts w:ascii="Arial" w:eastAsia="宋体" w:hAnsi="Arial" w:cs="Arial"/>
          <w:color w:val="9E9E9E"/>
          <w:kern w:val="0"/>
          <w:sz w:val="18"/>
          <w:szCs w:val="18"/>
        </w:rPr>
        <w:t> </w:t>
      </w:r>
      <w:hyperlink r:id="rId7" w:history="1">
        <w:r w:rsidRPr="000C405E">
          <w:rPr>
            <w:rFonts w:ascii="Arial" w:eastAsia="宋体" w:hAnsi="Arial" w:cs="Arial"/>
            <w:color w:val="9E9E9E"/>
            <w:kern w:val="0"/>
            <w:sz w:val="18"/>
            <w:szCs w:val="18"/>
          </w:rPr>
          <w:t>产品名录</w:t>
        </w:r>
      </w:hyperlink>
      <w:r w:rsidRPr="000C405E">
        <w:rPr>
          <w:rFonts w:ascii="Arial" w:eastAsia="宋体" w:hAnsi="Arial" w:cs="Arial"/>
          <w:color w:val="9E9E9E"/>
          <w:kern w:val="0"/>
          <w:sz w:val="18"/>
          <w:szCs w:val="18"/>
        </w:rPr>
        <w:t> </w:t>
      </w:r>
      <w:r w:rsidRPr="000C405E">
        <w:rPr>
          <w:rFonts w:ascii="Arial" w:eastAsia="宋体" w:hAnsi="Arial" w:cs="Arial"/>
          <w:color w:val="9E9E9E"/>
          <w:kern w:val="0"/>
          <w:sz w:val="18"/>
          <w:szCs w:val="18"/>
          <w:shd w:val="clear" w:color="auto" w:fill="FFFFFF"/>
        </w:rPr>
        <w:t>-</w:t>
      </w:r>
      <w:r w:rsidRPr="000C405E">
        <w:rPr>
          <w:rFonts w:ascii="Arial" w:eastAsia="宋体" w:hAnsi="Arial" w:cs="Arial"/>
          <w:color w:val="9E9E9E"/>
          <w:kern w:val="0"/>
          <w:sz w:val="18"/>
          <w:szCs w:val="18"/>
        </w:rPr>
        <w:t> </w:t>
      </w:r>
      <w:proofErr w:type="gramStart"/>
      <w:r w:rsidRPr="000C405E">
        <w:rPr>
          <w:rFonts w:ascii="Arial" w:eastAsia="宋体" w:hAnsi="Arial" w:cs="Arial"/>
          <w:color w:val="B41B18"/>
          <w:kern w:val="0"/>
          <w:sz w:val="18"/>
          <w:szCs w:val="18"/>
          <w:shd w:val="clear" w:color="auto" w:fill="FFFFFF"/>
        </w:rPr>
        <w:t>金百临</w:t>
      </w:r>
      <w:r w:rsidRPr="000C405E">
        <w:rPr>
          <w:rFonts w:ascii="Arial" w:eastAsia="宋体" w:hAnsi="Arial" w:cs="Arial"/>
          <w:color w:val="B41B18"/>
          <w:kern w:val="0"/>
          <w:sz w:val="18"/>
          <w:szCs w:val="18"/>
          <w:shd w:val="clear" w:color="auto" w:fill="FFFFFF"/>
        </w:rPr>
        <w:t>2</w:t>
      </w:r>
      <w:r w:rsidRPr="000C405E">
        <w:rPr>
          <w:rFonts w:ascii="Arial" w:eastAsia="宋体" w:hAnsi="Arial" w:cs="Arial"/>
          <w:color w:val="B41B18"/>
          <w:kern w:val="0"/>
          <w:sz w:val="18"/>
          <w:szCs w:val="18"/>
          <w:shd w:val="clear" w:color="auto" w:fill="FFFFFF"/>
        </w:rPr>
        <w:t>号</w:t>
      </w:r>
      <w:proofErr w:type="gramEnd"/>
    </w:p>
    <w:p w:rsidR="000C405E" w:rsidRPr="000C405E" w:rsidRDefault="000C405E" w:rsidP="000C405E">
      <w:pPr>
        <w:widowControl/>
        <w:shd w:val="clear" w:color="auto" w:fill="FEFEFE"/>
        <w:spacing w:line="630" w:lineRule="atLeast"/>
        <w:ind w:left="720"/>
        <w:jc w:val="center"/>
        <w:rPr>
          <w:rFonts w:ascii="Arial" w:eastAsia="宋体" w:hAnsi="Arial" w:cs="Arial"/>
          <w:color w:val="333333"/>
          <w:kern w:val="0"/>
          <w:sz w:val="18"/>
          <w:szCs w:val="18"/>
        </w:rPr>
      </w:pPr>
      <w:hyperlink r:id="rId8" w:history="1">
        <w:r w:rsidRPr="000C405E">
          <w:rPr>
            <w:rFonts w:ascii="Arial" w:eastAsia="宋体" w:hAnsi="Arial" w:cs="Arial"/>
            <w:color w:val="FFFFFF"/>
            <w:kern w:val="0"/>
            <w:sz w:val="18"/>
            <w:szCs w:val="18"/>
          </w:rPr>
          <w:t>产品介绍</w:t>
        </w:r>
      </w:hyperlink>
    </w:p>
    <w:p w:rsidR="000C405E" w:rsidRPr="000C405E" w:rsidRDefault="000C405E" w:rsidP="000C405E">
      <w:pPr>
        <w:widowControl/>
        <w:shd w:val="clear" w:color="auto" w:fill="FEFEFE"/>
        <w:spacing w:line="630" w:lineRule="atLeast"/>
        <w:ind w:left="720"/>
        <w:jc w:val="center"/>
        <w:rPr>
          <w:rFonts w:ascii="Arial" w:eastAsia="宋体" w:hAnsi="Arial" w:cs="Arial"/>
          <w:color w:val="333333"/>
          <w:kern w:val="0"/>
          <w:sz w:val="18"/>
          <w:szCs w:val="18"/>
        </w:rPr>
      </w:pPr>
      <w:hyperlink r:id="rId9" w:history="1">
        <w:r w:rsidRPr="000C405E">
          <w:rPr>
            <w:rFonts w:ascii="Arial" w:eastAsia="宋体" w:hAnsi="Arial" w:cs="Arial"/>
            <w:color w:val="A11513"/>
            <w:kern w:val="0"/>
            <w:sz w:val="18"/>
            <w:szCs w:val="18"/>
          </w:rPr>
          <w:t>管理报告</w:t>
        </w:r>
      </w:hyperlink>
    </w:p>
    <w:p w:rsidR="000C405E" w:rsidRPr="000C405E" w:rsidRDefault="000C405E" w:rsidP="000C405E">
      <w:pPr>
        <w:widowControl/>
        <w:shd w:val="clear" w:color="auto" w:fill="FEFEFE"/>
        <w:spacing w:line="630" w:lineRule="atLeast"/>
        <w:ind w:left="720"/>
        <w:jc w:val="center"/>
        <w:rPr>
          <w:rFonts w:ascii="Arial" w:eastAsia="宋体" w:hAnsi="Arial" w:cs="Arial"/>
          <w:color w:val="333333"/>
          <w:kern w:val="0"/>
          <w:sz w:val="18"/>
          <w:szCs w:val="18"/>
        </w:rPr>
      </w:pPr>
      <w:hyperlink r:id="rId10" w:history="1">
        <w:r w:rsidRPr="000C405E">
          <w:rPr>
            <w:rFonts w:ascii="Arial" w:eastAsia="宋体" w:hAnsi="Arial" w:cs="Arial"/>
            <w:color w:val="A11513"/>
            <w:kern w:val="0"/>
            <w:sz w:val="18"/>
            <w:szCs w:val="18"/>
          </w:rPr>
          <w:t>相关公告</w:t>
        </w:r>
      </w:hyperlink>
    </w:p>
    <w:p w:rsidR="000C405E" w:rsidRPr="000C405E" w:rsidRDefault="000C405E" w:rsidP="000C405E">
      <w:pPr>
        <w:widowControl/>
        <w:shd w:val="clear" w:color="auto" w:fill="FEFEFE"/>
        <w:spacing w:line="630" w:lineRule="atLeast"/>
        <w:ind w:left="720"/>
        <w:jc w:val="center"/>
        <w:rPr>
          <w:rFonts w:ascii="Arial" w:eastAsia="宋体" w:hAnsi="Arial" w:cs="Arial"/>
          <w:color w:val="333333"/>
          <w:kern w:val="0"/>
          <w:sz w:val="18"/>
          <w:szCs w:val="18"/>
        </w:rPr>
      </w:pPr>
      <w:hyperlink r:id="rId11" w:history="1">
        <w:r w:rsidRPr="000C405E">
          <w:rPr>
            <w:rFonts w:ascii="Arial" w:eastAsia="宋体" w:hAnsi="Arial" w:cs="Arial"/>
            <w:color w:val="A11513"/>
            <w:kern w:val="0"/>
            <w:sz w:val="18"/>
            <w:szCs w:val="18"/>
          </w:rPr>
          <w:t>兑付公告</w:t>
        </w:r>
      </w:hyperlink>
    </w:p>
    <w:p w:rsidR="000C405E" w:rsidRPr="000C405E" w:rsidRDefault="000C405E" w:rsidP="000C405E">
      <w:pPr>
        <w:widowControl/>
        <w:shd w:val="clear" w:color="auto" w:fill="FEFEFE"/>
        <w:spacing w:line="630" w:lineRule="atLeast"/>
        <w:ind w:left="720"/>
        <w:jc w:val="center"/>
        <w:rPr>
          <w:rFonts w:ascii="Arial" w:eastAsia="宋体" w:hAnsi="Arial" w:cs="Arial"/>
          <w:color w:val="333333"/>
          <w:kern w:val="0"/>
          <w:sz w:val="18"/>
          <w:szCs w:val="18"/>
        </w:rPr>
      </w:pPr>
      <w:hyperlink r:id="rId12" w:history="1">
        <w:r w:rsidRPr="000C405E">
          <w:rPr>
            <w:rFonts w:ascii="Arial" w:eastAsia="宋体" w:hAnsi="Arial" w:cs="Arial"/>
            <w:color w:val="A11513"/>
            <w:kern w:val="0"/>
            <w:sz w:val="18"/>
            <w:szCs w:val="18"/>
          </w:rPr>
          <w:t>净值披露</w:t>
        </w:r>
      </w:hyperlink>
    </w:p>
    <w:p w:rsidR="000C405E" w:rsidRPr="000C405E" w:rsidRDefault="000C405E" w:rsidP="000C405E">
      <w:pPr>
        <w:widowControl/>
        <w:shd w:val="clear" w:color="auto" w:fill="FCFCFC"/>
        <w:spacing w:line="360" w:lineRule="atLeast"/>
        <w:jc w:val="left"/>
        <w:rPr>
          <w:rFonts w:ascii="Arial" w:eastAsia="宋体" w:hAnsi="Arial" w:cs="Arial"/>
          <w:color w:val="333333"/>
          <w:kern w:val="0"/>
          <w:sz w:val="18"/>
          <w:szCs w:val="18"/>
        </w:rPr>
      </w:pPr>
      <w:r w:rsidRPr="000C405E">
        <w:rPr>
          <w:rFonts w:ascii="Arial" w:eastAsia="宋体" w:hAnsi="Arial" w:cs="Arial"/>
          <w:color w:val="333333"/>
          <w:kern w:val="0"/>
          <w:sz w:val="18"/>
          <w:szCs w:val="18"/>
        </w:rPr>
        <w:t> </w:t>
      </w:r>
    </w:p>
    <w:p w:rsidR="000C405E" w:rsidRPr="000C405E" w:rsidRDefault="000C405E" w:rsidP="000C405E">
      <w:pPr>
        <w:widowControl/>
        <w:shd w:val="clear" w:color="auto" w:fill="FCFCFC"/>
        <w:spacing w:line="360" w:lineRule="atLeast"/>
        <w:jc w:val="center"/>
        <w:rPr>
          <w:rFonts w:ascii="Arial" w:eastAsia="宋体" w:hAnsi="Arial" w:cs="Arial"/>
          <w:color w:val="333333"/>
          <w:kern w:val="0"/>
          <w:sz w:val="18"/>
          <w:szCs w:val="18"/>
        </w:rPr>
      </w:pPr>
      <w:r w:rsidRPr="000C405E">
        <w:rPr>
          <w:rFonts w:ascii="宋体" w:eastAsia="宋体" w:hAnsi="宋体" w:cs="Arial" w:hint="eastAsia"/>
          <w:b/>
          <w:bCs/>
          <w:color w:val="333333"/>
          <w:kern w:val="0"/>
          <w:sz w:val="44"/>
          <w:szCs w:val="44"/>
        </w:rPr>
        <w:t>产品基础要素</w:t>
      </w:r>
    </w:p>
    <w:p w:rsidR="000C405E" w:rsidRPr="000C405E" w:rsidRDefault="000C405E" w:rsidP="000C405E">
      <w:pPr>
        <w:widowControl/>
        <w:shd w:val="clear" w:color="auto" w:fill="FCFCFC"/>
        <w:spacing w:line="360" w:lineRule="atLeast"/>
        <w:ind w:firstLine="643"/>
        <w:jc w:val="left"/>
        <w:rPr>
          <w:rFonts w:ascii="Arial" w:eastAsia="宋体" w:hAnsi="Arial" w:cs="Arial"/>
          <w:color w:val="333333"/>
          <w:kern w:val="0"/>
          <w:sz w:val="18"/>
          <w:szCs w:val="18"/>
        </w:rPr>
      </w:pPr>
      <w:r w:rsidRPr="000C405E">
        <w:rPr>
          <w:rFonts w:ascii="新宋体" w:eastAsia="新宋体" w:hAnsi="新宋体" w:cs="Arial" w:hint="eastAsia"/>
          <w:b/>
          <w:bCs/>
          <w:color w:val="333333"/>
          <w:kern w:val="0"/>
          <w:sz w:val="24"/>
          <w:szCs w:val="24"/>
        </w:rPr>
        <w:t>1、信托名称：</w:t>
      </w:r>
      <w:proofErr w:type="gramStart"/>
      <w:r w:rsidRPr="000C405E">
        <w:rPr>
          <w:rFonts w:ascii="新宋体" w:eastAsia="新宋体" w:hAnsi="新宋体" w:cs="Arial" w:hint="eastAsia"/>
          <w:color w:val="333333"/>
          <w:kern w:val="0"/>
          <w:sz w:val="24"/>
          <w:szCs w:val="24"/>
        </w:rPr>
        <w:t>金百临2号</w:t>
      </w:r>
      <w:proofErr w:type="gramEnd"/>
      <w:r w:rsidRPr="000C405E">
        <w:rPr>
          <w:rFonts w:ascii="新宋体" w:eastAsia="新宋体" w:hAnsi="新宋体" w:cs="Arial" w:hint="eastAsia"/>
          <w:color w:val="333333"/>
          <w:kern w:val="0"/>
          <w:sz w:val="24"/>
          <w:szCs w:val="24"/>
        </w:rPr>
        <w:t>集合资金信托计划</w:t>
      </w:r>
    </w:p>
    <w:p w:rsidR="000C405E" w:rsidRPr="000C405E" w:rsidRDefault="000C405E" w:rsidP="000C405E">
      <w:pPr>
        <w:widowControl/>
        <w:shd w:val="clear" w:color="auto" w:fill="FCFCFC"/>
        <w:spacing w:line="360" w:lineRule="atLeast"/>
        <w:ind w:firstLine="643"/>
        <w:jc w:val="left"/>
        <w:rPr>
          <w:rFonts w:ascii="Arial" w:eastAsia="宋体" w:hAnsi="Arial" w:cs="Arial"/>
          <w:color w:val="333333"/>
          <w:kern w:val="0"/>
          <w:sz w:val="18"/>
          <w:szCs w:val="18"/>
        </w:rPr>
      </w:pPr>
      <w:r w:rsidRPr="000C405E">
        <w:rPr>
          <w:rFonts w:ascii="新宋体" w:eastAsia="新宋体" w:hAnsi="新宋体" w:cs="Arial" w:hint="eastAsia"/>
          <w:b/>
          <w:bCs/>
          <w:color w:val="333333"/>
          <w:kern w:val="0"/>
          <w:sz w:val="24"/>
          <w:szCs w:val="24"/>
        </w:rPr>
        <w:t>2、募集规模：</w:t>
      </w:r>
      <w:r w:rsidRPr="000C405E">
        <w:rPr>
          <w:rFonts w:ascii="新宋体" w:eastAsia="新宋体" w:hAnsi="新宋体" w:cs="Arial" w:hint="eastAsia"/>
          <w:color w:val="333333"/>
          <w:kern w:val="0"/>
          <w:sz w:val="24"/>
          <w:szCs w:val="24"/>
        </w:rPr>
        <w:t>30000万元以信托计划成立时募集资金规模以信托计划成立时的实际募集资金规模为准</w:t>
      </w:r>
    </w:p>
    <w:p w:rsidR="000C405E" w:rsidRPr="000C405E" w:rsidRDefault="000C405E" w:rsidP="000C405E">
      <w:pPr>
        <w:widowControl/>
        <w:shd w:val="clear" w:color="auto" w:fill="FCFCFC"/>
        <w:spacing w:line="360" w:lineRule="atLeast"/>
        <w:ind w:firstLine="643"/>
        <w:jc w:val="left"/>
        <w:rPr>
          <w:rFonts w:ascii="Arial" w:eastAsia="宋体" w:hAnsi="Arial" w:cs="Arial"/>
          <w:color w:val="333333"/>
          <w:kern w:val="0"/>
          <w:sz w:val="18"/>
          <w:szCs w:val="18"/>
        </w:rPr>
      </w:pPr>
      <w:r w:rsidRPr="000C405E">
        <w:rPr>
          <w:rFonts w:ascii="新宋体" w:eastAsia="新宋体" w:hAnsi="新宋体" w:cs="Arial" w:hint="eastAsia"/>
          <w:b/>
          <w:bCs/>
          <w:color w:val="333333"/>
          <w:kern w:val="0"/>
          <w:sz w:val="24"/>
          <w:szCs w:val="24"/>
        </w:rPr>
        <w:t>3、信托期限：</w:t>
      </w:r>
      <w:r w:rsidRPr="000C405E">
        <w:rPr>
          <w:rFonts w:ascii="新宋体" w:eastAsia="新宋体" w:hAnsi="新宋体" w:cs="Arial" w:hint="eastAsia"/>
          <w:color w:val="333333"/>
          <w:kern w:val="0"/>
          <w:sz w:val="24"/>
          <w:szCs w:val="24"/>
        </w:rPr>
        <w:t>24个月</w:t>
      </w:r>
    </w:p>
    <w:p w:rsidR="000C405E" w:rsidRPr="000C405E" w:rsidRDefault="000C405E" w:rsidP="000C405E">
      <w:pPr>
        <w:widowControl/>
        <w:shd w:val="clear" w:color="auto" w:fill="FCFCFC"/>
        <w:spacing w:line="360" w:lineRule="atLeast"/>
        <w:ind w:firstLine="643"/>
        <w:jc w:val="left"/>
        <w:rPr>
          <w:rFonts w:ascii="Arial" w:eastAsia="宋体" w:hAnsi="Arial" w:cs="Arial"/>
          <w:color w:val="333333"/>
          <w:kern w:val="0"/>
          <w:sz w:val="18"/>
          <w:szCs w:val="18"/>
        </w:rPr>
      </w:pPr>
      <w:r w:rsidRPr="000C405E">
        <w:rPr>
          <w:rFonts w:ascii="新宋体" w:eastAsia="新宋体" w:hAnsi="新宋体" w:cs="Arial" w:hint="eastAsia"/>
          <w:b/>
          <w:bCs/>
          <w:color w:val="333333"/>
          <w:kern w:val="0"/>
          <w:sz w:val="24"/>
          <w:szCs w:val="24"/>
        </w:rPr>
        <w:t>4、预期收益率:</w:t>
      </w:r>
      <w:r w:rsidRPr="000C405E">
        <w:rPr>
          <w:rFonts w:ascii="新宋体" w:eastAsia="新宋体" w:hAnsi="新宋体" w:cs="Arial" w:hint="eastAsia"/>
          <w:color w:val="333333"/>
          <w:kern w:val="0"/>
          <w:sz w:val="24"/>
          <w:szCs w:val="24"/>
        </w:rPr>
        <w:t>优先级</w:t>
      </w:r>
      <w:proofErr w:type="gramStart"/>
      <w:r w:rsidRPr="000C405E">
        <w:rPr>
          <w:rFonts w:ascii="新宋体" w:eastAsia="新宋体" w:hAnsi="新宋体" w:cs="Arial" w:hint="eastAsia"/>
          <w:color w:val="333333"/>
          <w:kern w:val="0"/>
          <w:sz w:val="24"/>
          <w:szCs w:val="24"/>
        </w:rPr>
        <w:t>预期年化收益率</w:t>
      </w:r>
      <w:proofErr w:type="gramEnd"/>
      <w:r w:rsidRPr="000C405E">
        <w:rPr>
          <w:rFonts w:ascii="新宋体" w:eastAsia="新宋体" w:hAnsi="新宋体" w:cs="Arial" w:hint="eastAsia"/>
          <w:color w:val="333333"/>
          <w:kern w:val="0"/>
          <w:sz w:val="24"/>
          <w:szCs w:val="24"/>
        </w:rPr>
        <w:t>为5.2%。</w:t>
      </w:r>
    </w:p>
    <w:p w:rsidR="000C405E" w:rsidRPr="000C405E" w:rsidRDefault="000C405E" w:rsidP="000C405E">
      <w:pPr>
        <w:widowControl/>
        <w:shd w:val="clear" w:color="auto" w:fill="FCFCFC"/>
        <w:spacing w:line="360" w:lineRule="atLeast"/>
        <w:ind w:firstLine="643"/>
        <w:jc w:val="left"/>
        <w:rPr>
          <w:rFonts w:ascii="Arial" w:eastAsia="宋体" w:hAnsi="Arial" w:cs="Arial"/>
          <w:color w:val="333333"/>
          <w:kern w:val="0"/>
          <w:sz w:val="18"/>
          <w:szCs w:val="18"/>
        </w:rPr>
      </w:pPr>
      <w:r w:rsidRPr="000C405E">
        <w:rPr>
          <w:rFonts w:ascii="新宋体" w:eastAsia="新宋体" w:hAnsi="新宋体" w:cs="Arial" w:hint="eastAsia"/>
          <w:b/>
          <w:bCs/>
          <w:color w:val="333333"/>
          <w:kern w:val="0"/>
          <w:sz w:val="24"/>
          <w:szCs w:val="24"/>
        </w:rPr>
        <w:t>5、推介期：</w:t>
      </w:r>
      <w:r w:rsidRPr="000C405E">
        <w:rPr>
          <w:rFonts w:ascii="新宋体" w:eastAsia="新宋体" w:hAnsi="新宋体" w:cs="Arial" w:hint="eastAsia"/>
          <w:color w:val="333333"/>
          <w:kern w:val="0"/>
          <w:sz w:val="24"/>
          <w:szCs w:val="24"/>
        </w:rPr>
        <w:t>2013年1月29日到2013年2月6日，受托人有权根据实际申购情况延长或提前终止申购期,受托人可根据信托资金的实际募集情况进行相应调整。</w:t>
      </w:r>
    </w:p>
    <w:p w:rsidR="000C405E" w:rsidRPr="000C405E" w:rsidRDefault="000C405E" w:rsidP="000C405E">
      <w:pPr>
        <w:widowControl/>
        <w:shd w:val="clear" w:color="auto" w:fill="FCFCFC"/>
        <w:spacing w:line="360" w:lineRule="atLeast"/>
        <w:ind w:firstLine="643"/>
        <w:jc w:val="left"/>
        <w:rPr>
          <w:rFonts w:ascii="Arial" w:eastAsia="宋体" w:hAnsi="Arial" w:cs="Arial"/>
          <w:color w:val="333333"/>
          <w:kern w:val="0"/>
          <w:sz w:val="18"/>
          <w:szCs w:val="18"/>
        </w:rPr>
      </w:pPr>
      <w:r w:rsidRPr="000C405E">
        <w:rPr>
          <w:rFonts w:ascii="新宋体" w:eastAsia="新宋体" w:hAnsi="新宋体" w:cs="Arial" w:hint="eastAsia"/>
          <w:b/>
          <w:bCs/>
          <w:color w:val="333333"/>
          <w:kern w:val="0"/>
          <w:sz w:val="24"/>
          <w:szCs w:val="24"/>
        </w:rPr>
        <w:t>6、信托收益分配：</w:t>
      </w:r>
      <w:r w:rsidRPr="000C405E">
        <w:rPr>
          <w:rFonts w:ascii="新宋体" w:eastAsia="新宋体" w:hAnsi="新宋体" w:cs="Arial" w:hint="eastAsia"/>
          <w:color w:val="333333"/>
          <w:kern w:val="0"/>
          <w:sz w:val="24"/>
          <w:szCs w:val="24"/>
        </w:rPr>
        <w:t>每季度末月后的3个工作日内支付一次已计提的信托报酬，剩余的信托报酬于信托计划终止日后3个工作日内一次性提取。</w:t>
      </w:r>
    </w:p>
    <w:p w:rsidR="000C405E" w:rsidRPr="000C405E" w:rsidRDefault="000C405E" w:rsidP="000C405E">
      <w:pPr>
        <w:widowControl/>
        <w:shd w:val="clear" w:color="auto" w:fill="FCFCFC"/>
        <w:spacing w:line="360" w:lineRule="atLeast"/>
        <w:ind w:firstLine="643"/>
        <w:jc w:val="left"/>
        <w:rPr>
          <w:rFonts w:ascii="Arial" w:eastAsia="宋体" w:hAnsi="Arial" w:cs="Arial"/>
          <w:color w:val="333333"/>
          <w:kern w:val="0"/>
          <w:sz w:val="18"/>
          <w:szCs w:val="18"/>
        </w:rPr>
      </w:pPr>
      <w:r w:rsidRPr="000C405E">
        <w:rPr>
          <w:rFonts w:ascii="新宋体" w:eastAsia="新宋体" w:hAnsi="新宋体" w:cs="Arial" w:hint="eastAsia"/>
          <w:b/>
          <w:bCs/>
          <w:color w:val="333333"/>
          <w:kern w:val="0"/>
          <w:sz w:val="24"/>
          <w:szCs w:val="24"/>
        </w:rPr>
        <w:t>7、资金运用方式：</w:t>
      </w:r>
      <w:r w:rsidRPr="000C405E">
        <w:rPr>
          <w:rFonts w:ascii="新宋体" w:eastAsia="新宋体" w:hAnsi="新宋体" w:cs="Arial" w:hint="eastAsia"/>
          <w:color w:val="333333"/>
          <w:kern w:val="0"/>
          <w:sz w:val="24"/>
          <w:szCs w:val="24"/>
        </w:rPr>
        <w:t>由受托人按照委托人的意愿，以受托人的名义，由受托人根据信托文件的规定运用信托资金于证券市场投资</w:t>
      </w:r>
    </w:p>
    <w:p w:rsidR="000C405E" w:rsidRPr="000C405E" w:rsidRDefault="000C405E" w:rsidP="000C405E">
      <w:pPr>
        <w:widowControl/>
        <w:shd w:val="clear" w:color="auto" w:fill="FCFCFC"/>
        <w:spacing w:line="360" w:lineRule="atLeast"/>
        <w:ind w:firstLine="643"/>
        <w:jc w:val="left"/>
        <w:rPr>
          <w:rFonts w:ascii="Arial" w:eastAsia="宋体" w:hAnsi="Arial" w:cs="Arial"/>
          <w:color w:val="333333"/>
          <w:kern w:val="0"/>
          <w:sz w:val="18"/>
          <w:szCs w:val="18"/>
        </w:rPr>
      </w:pPr>
      <w:r w:rsidRPr="000C405E">
        <w:rPr>
          <w:rFonts w:ascii="新宋体" w:eastAsia="新宋体" w:hAnsi="新宋体" w:cs="Arial" w:hint="eastAsia"/>
          <w:b/>
          <w:bCs/>
          <w:color w:val="333333"/>
          <w:kern w:val="0"/>
          <w:sz w:val="24"/>
          <w:szCs w:val="24"/>
        </w:rPr>
        <w:t>9、保管银行：</w:t>
      </w:r>
      <w:r w:rsidRPr="000C405E">
        <w:rPr>
          <w:rFonts w:ascii="新宋体" w:eastAsia="新宋体" w:hAnsi="新宋体" w:cs="Arial" w:hint="eastAsia"/>
          <w:color w:val="333333"/>
          <w:kern w:val="0"/>
          <w:sz w:val="24"/>
          <w:szCs w:val="24"/>
        </w:rPr>
        <w:t>中国银行 江苏分行</w:t>
      </w:r>
    </w:p>
    <w:p w:rsidR="000C405E" w:rsidRPr="000C405E" w:rsidRDefault="000C405E" w:rsidP="000C405E">
      <w:pPr>
        <w:widowControl/>
        <w:shd w:val="clear" w:color="auto" w:fill="FCFCFC"/>
        <w:spacing w:line="360" w:lineRule="atLeast"/>
        <w:ind w:firstLine="643"/>
        <w:jc w:val="left"/>
        <w:rPr>
          <w:rFonts w:ascii="Arial" w:eastAsia="宋体" w:hAnsi="Arial" w:cs="Arial"/>
          <w:color w:val="333333"/>
          <w:kern w:val="0"/>
          <w:sz w:val="18"/>
          <w:szCs w:val="18"/>
        </w:rPr>
      </w:pPr>
      <w:r w:rsidRPr="000C405E">
        <w:rPr>
          <w:rFonts w:ascii="新宋体" w:eastAsia="新宋体" w:hAnsi="新宋体" w:cs="Arial" w:hint="eastAsia"/>
          <w:b/>
          <w:bCs/>
          <w:color w:val="333333"/>
          <w:kern w:val="0"/>
          <w:sz w:val="24"/>
          <w:szCs w:val="24"/>
        </w:rPr>
        <w:t>10、认购额：</w:t>
      </w:r>
      <w:r w:rsidRPr="000C405E">
        <w:rPr>
          <w:rFonts w:ascii="新宋体" w:eastAsia="新宋体" w:hAnsi="新宋体" w:cs="Arial" w:hint="eastAsia"/>
          <w:color w:val="333333"/>
          <w:kern w:val="0"/>
          <w:sz w:val="24"/>
          <w:szCs w:val="24"/>
        </w:rPr>
        <w:t>优先级受益人：个人 合格投资者 机构27000万元 一般级受益人：3000万元</w:t>
      </w:r>
    </w:p>
    <w:p w:rsidR="0001065D" w:rsidRPr="000C405E" w:rsidRDefault="0001065D" w:rsidP="000C405E"/>
    <w:sectPr w:rsidR="0001065D" w:rsidRPr="000C405E" w:rsidSect="0001065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2642" w:rsidRDefault="00402642" w:rsidP="00B47A64">
      <w:r>
        <w:separator/>
      </w:r>
    </w:p>
  </w:endnote>
  <w:endnote w:type="continuationSeparator" w:id="0">
    <w:p w:rsidR="00402642" w:rsidRDefault="00402642" w:rsidP="00B47A6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新宋体">
    <w:panose1 w:val="02010609030101010101"/>
    <w:charset w:val="86"/>
    <w:family w:val="modern"/>
    <w:pitch w:val="fixed"/>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2642" w:rsidRDefault="00402642" w:rsidP="00B47A64">
      <w:r>
        <w:separator/>
      </w:r>
    </w:p>
  </w:footnote>
  <w:footnote w:type="continuationSeparator" w:id="0">
    <w:p w:rsidR="00402642" w:rsidRDefault="00402642" w:rsidP="00B47A6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47A64"/>
    <w:rsid w:val="0001065D"/>
    <w:rsid w:val="000C405E"/>
    <w:rsid w:val="00192B40"/>
    <w:rsid w:val="003B4D8D"/>
    <w:rsid w:val="00402642"/>
    <w:rsid w:val="004F19FD"/>
    <w:rsid w:val="00517704"/>
    <w:rsid w:val="005C6339"/>
    <w:rsid w:val="00851B9F"/>
    <w:rsid w:val="00B47A64"/>
    <w:rsid w:val="00BB6E59"/>
    <w:rsid w:val="00C30ABF"/>
    <w:rsid w:val="00CB69BC"/>
    <w:rsid w:val="00DA0F99"/>
    <w:rsid w:val="00EB36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065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47A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47A64"/>
    <w:rPr>
      <w:sz w:val="18"/>
      <w:szCs w:val="18"/>
    </w:rPr>
  </w:style>
  <w:style w:type="paragraph" w:styleId="a4">
    <w:name w:val="footer"/>
    <w:basedOn w:val="a"/>
    <w:link w:val="Char0"/>
    <w:uiPriority w:val="99"/>
    <w:semiHidden/>
    <w:unhideWhenUsed/>
    <w:rsid w:val="00B47A6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47A64"/>
    <w:rPr>
      <w:sz w:val="18"/>
      <w:szCs w:val="18"/>
    </w:rPr>
  </w:style>
  <w:style w:type="character" w:customStyle="1" w:styleId="textred">
    <w:name w:val="text_red"/>
    <w:basedOn w:val="a0"/>
    <w:rsid w:val="00B47A64"/>
  </w:style>
  <w:style w:type="character" w:customStyle="1" w:styleId="apple-converted-space">
    <w:name w:val="apple-converted-space"/>
    <w:basedOn w:val="a0"/>
    <w:rsid w:val="00B47A64"/>
  </w:style>
  <w:style w:type="paragraph" w:styleId="a5">
    <w:name w:val="Normal (Web)"/>
    <w:basedOn w:val="a"/>
    <w:uiPriority w:val="99"/>
    <w:semiHidden/>
    <w:unhideWhenUsed/>
    <w:rsid w:val="004F19F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0C405E"/>
    <w:rPr>
      <w:b/>
      <w:bCs/>
    </w:rPr>
  </w:style>
  <w:style w:type="character" w:styleId="a7">
    <w:name w:val="Hyperlink"/>
    <w:basedOn w:val="a0"/>
    <w:uiPriority w:val="99"/>
    <w:semiHidden/>
    <w:unhideWhenUsed/>
    <w:rsid w:val="000C405E"/>
    <w:rPr>
      <w:color w:val="0000FF"/>
      <w:u w:val="single"/>
    </w:rPr>
  </w:style>
</w:styles>
</file>

<file path=word/webSettings.xml><?xml version="1.0" encoding="utf-8"?>
<w:webSettings xmlns:r="http://schemas.openxmlformats.org/officeDocument/2006/relationships" xmlns:w="http://schemas.openxmlformats.org/wordprocessingml/2006/main">
  <w:divs>
    <w:div w:id="1419711647">
      <w:bodyDiv w:val="1"/>
      <w:marLeft w:val="0"/>
      <w:marRight w:val="0"/>
      <w:marTop w:val="0"/>
      <w:marBottom w:val="0"/>
      <w:divBdr>
        <w:top w:val="none" w:sz="0" w:space="0" w:color="auto"/>
        <w:left w:val="none" w:sz="0" w:space="0" w:color="auto"/>
        <w:bottom w:val="none" w:sz="0" w:space="0" w:color="auto"/>
        <w:right w:val="none" w:sz="0" w:space="0" w:color="auto"/>
      </w:divBdr>
    </w:div>
    <w:div w:id="1777822075">
      <w:bodyDiv w:val="1"/>
      <w:marLeft w:val="0"/>
      <w:marRight w:val="0"/>
      <w:marTop w:val="0"/>
      <w:marBottom w:val="0"/>
      <w:divBdr>
        <w:top w:val="none" w:sz="0" w:space="0" w:color="auto"/>
        <w:left w:val="none" w:sz="0" w:space="0" w:color="auto"/>
        <w:bottom w:val="none" w:sz="0" w:space="0" w:color="auto"/>
        <w:right w:val="none" w:sz="0" w:space="0" w:color="auto"/>
      </w:divBdr>
      <w:divsChild>
        <w:div w:id="321470331">
          <w:marLeft w:val="0"/>
          <w:marRight w:val="0"/>
          <w:marTop w:val="0"/>
          <w:marBottom w:val="0"/>
          <w:divBdr>
            <w:top w:val="none" w:sz="0" w:space="0" w:color="auto"/>
            <w:left w:val="none" w:sz="0" w:space="0" w:color="auto"/>
            <w:bottom w:val="none" w:sz="0" w:space="0" w:color="auto"/>
            <w:right w:val="none" w:sz="0" w:space="0" w:color="auto"/>
          </w:divBdr>
        </w:div>
        <w:div w:id="2132356963">
          <w:marLeft w:val="0"/>
          <w:marRight w:val="0"/>
          <w:marTop w:val="0"/>
          <w:marBottom w:val="0"/>
          <w:divBdr>
            <w:top w:val="none" w:sz="0" w:space="0" w:color="auto"/>
            <w:left w:val="none" w:sz="0" w:space="0" w:color="auto"/>
            <w:bottom w:val="none" w:sz="0" w:space="0" w:color="auto"/>
            <w:right w:val="none" w:sz="0" w:space="0" w:color="auto"/>
          </w:divBdr>
        </w:div>
        <w:div w:id="1939948191">
          <w:marLeft w:val="0"/>
          <w:marRight w:val="0"/>
          <w:marTop w:val="0"/>
          <w:marBottom w:val="0"/>
          <w:divBdr>
            <w:top w:val="single" w:sz="6" w:space="23" w:color="F2F2F2"/>
            <w:left w:val="single" w:sz="6" w:space="15" w:color="F2F2F2"/>
            <w:bottom w:val="single" w:sz="6" w:space="23" w:color="F2F2F2"/>
            <w:right w:val="single" w:sz="6" w:space="15" w:color="F2F2F2"/>
          </w:divBdr>
        </w:div>
      </w:divsChild>
    </w:div>
    <w:div w:id="1876889353">
      <w:bodyDiv w:val="1"/>
      <w:marLeft w:val="0"/>
      <w:marRight w:val="0"/>
      <w:marTop w:val="0"/>
      <w:marBottom w:val="0"/>
      <w:divBdr>
        <w:top w:val="none" w:sz="0" w:space="0" w:color="auto"/>
        <w:left w:val="none" w:sz="0" w:space="0" w:color="auto"/>
        <w:bottom w:val="none" w:sz="0" w:space="0" w:color="auto"/>
        <w:right w:val="none" w:sz="0" w:space="0" w:color="auto"/>
      </w:divBdr>
    </w:div>
    <w:div w:id="1941448926">
      <w:bodyDiv w:val="1"/>
      <w:marLeft w:val="0"/>
      <w:marRight w:val="0"/>
      <w:marTop w:val="0"/>
      <w:marBottom w:val="0"/>
      <w:divBdr>
        <w:top w:val="none" w:sz="0" w:space="0" w:color="auto"/>
        <w:left w:val="none" w:sz="0" w:space="0" w:color="auto"/>
        <w:bottom w:val="none" w:sz="0" w:space="0" w:color="auto"/>
        <w:right w:val="none" w:sz="0" w:space="0" w:color="auto"/>
      </w:divBdr>
    </w:div>
    <w:div w:id="2023312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changgeProductArticleDiv(1);"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yntrust.com/product.html" TargetMode="External"/><Relationship Id="rId12" Type="http://schemas.openxmlformats.org/officeDocument/2006/relationships/hyperlink" Target="http://www.yntrust.com/netValueView/1361497680718.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yntrust.com/index.html" TargetMode="External"/><Relationship Id="rId11" Type="http://schemas.openxmlformats.org/officeDocument/2006/relationships/hyperlink" Target="javascript:changgeProductArticleDiv(4);" TargetMode="External"/><Relationship Id="rId5" Type="http://schemas.openxmlformats.org/officeDocument/2006/relationships/endnotes" Target="endnotes.xml"/><Relationship Id="rId10" Type="http://schemas.openxmlformats.org/officeDocument/2006/relationships/hyperlink" Target="javascript:changgeProductArticleDiv(3);" TargetMode="External"/><Relationship Id="rId4" Type="http://schemas.openxmlformats.org/officeDocument/2006/relationships/footnotes" Target="footnotes.xml"/><Relationship Id="rId9" Type="http://schemas.openxmlformats.org/officeDocument/2006/relationships/hyperlink" Target="javascript:changgeProductArticleDiv(2);"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123</Words>
  <Characters>704</Characters>
  <Application>Microsoft Office Word</Application>
  <DocSecurity>0</DocSecurity>
  <Lines>5</Lines>
  <Paragraphs>1</Paragraphs>
  <ScaleCrop>false</ScaleCrop>
  <Company/>
  <LinksUpToDate>false</LinksUpToDate>
  <CharactersWithSpaces>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11</cp:revision>
  <dcterms:created xsi:type="dcterms:W3CDTF">2013-04-11T23:31:00Z</dcterms:created>
  <dcterms:modified xsi:type="dcterms:W3CDTF">2013-04-12T02:33:00Z</dcterms:modified>
</cp:coreProperties>
</file>