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037D" w:rsidRDefault="0061037D" w:rsidP="0061037D">
      <w:pPr>
        <w:shd w:val="clear" w:color="auto" w:fill="FEFEFE"/>
        <w:spacing w:line="480" w:lineRule="atLeast"/>
        <w:rPr>
          <w:rFonts w:ascii="Arial" w:hAnsi="Arial" w:cs="Arial"/>
          <w:color w:val="333333"/>
          <w:sz w:val="18"/>
          <w:szCs w:val="18"/>
        </w:rPr>
      </w:pPr>
      <w:r>
        <w:rPr>
          <w:rStyle w:val="a6"/>
          <w:rFonts w:ascii="Arial" w:hAnsi="Arial" w:cs="Arial"/>
          <w:color w:val="AC1816"/>
          <w:sz w:val="18"/>
          <w:szCs w:val="18"/>
          <w:shd w:val="clear" w:color="auto" w:fill="FFFFFF"/>
        </w:rPr>
        <w:t>涌利</w:t>
      </w:r>
      <w:r>
        <w:rPr>
          <w:rStyle w:val="a6"/>
          <w:rFonts w:ascii="Arial" w:hAnsi="Arial" w:cs="Arial"/>
          <w:color w:val="AC1816"/>
          <w:sz w:val="18"/>
          <w:szCs w:val="18"/>
          <w:shd w:val="clear" w:color="auto" w:fill="FFFFFF"/>
        </w:rPr>
        <w:t>1</w:t>
      </w:r>
      <w:r>
        <w:rPr>
          <w:rStyle w:val="a6"/>
          <w:rFonts w:ascii="Arial" w:hAnsi="Arial" w:cs="Arial"/>
          <w:color w:val="AC1816"/>
          <w:sz w:val="18"/>
          <w:szCs w:val="18"/>
          <w:shd w:val="clear" w:color="auto" w:fill="FFFFFF"/>
        </w:rPr>
        <w:t>号</w:t>
      </w:r>
      <w:r>
        <w:rPr>
          <w:rFonts w:ascii="Arial" w:hAnsi="Arial" w:cs="Arial"/>
          <w:color w:val="9E9E9E"/>
          <w:sz w:val="18"/>
          <w:szCs w:val="18"/>
          <w:shd w:val="clear" w:color="auto" w:fill="FFFFFF"/>
        </w:rPr>
        <w:t>当前位置：</w:t>
      </w:r>
      <w:hyperlink r:id="rId6" w:history="1">
        <w:r>
          <w:rPr>
            <w:rStyle w:val="a7"/>
            <w:rFonts w:ascii="Arial" w:hAnsi="Arial" w:cs="Arial"/>
            <w:color w:val="9E9E9E"/>
            <w:shd w:val="clear" w:color="auto" w:fill="FFFFFF"/>
          </w:rPr>
          <w:t>首页</w:t>
        </w:r>
        <w:r>
          <w:rPr>
            <w:rStyle w:val="apple-converted-space"/>
            <w:rFonts w:ascii="Arial" w:hAnsi="Arial" w:cs="Arial"/>
            <w:color w:val="9E9E9E"/>
            <w:shd w:val="clear" w:color="auto" w:fill="FFFFFF"/>
          </w:rPr>
          <w:t> </w:t>
        </w:r>
      </w:hyperlink>
      <w:r>
        <w:rPr>
          <w:rFonts w:ascii="Arial" w:hAnsi="Arial" w:cs="Arial"/>
          <w:color w:val="9E9E9E"/>
          <w:sz w:val="18"/>
          <w:szCs w:val="18"/>
          <w:shd w:val="clear" w:color="auto" w:fill="FFFFFF"/>
        </w:rPr>
        <w:t>-</w:t>
      </w:r>
      <w:r>
        <w:rPr>
          <w:rStyle w:val="apple-converted-space"/>
          <w:rFonts w:ascii="Arial" w:hAnsi="Arial" w:cs="Arial"/>
          <w:color w:val="9E9E9E"/>
          <w:shd w:val="clear" w:color="auto" w:fill="FFFFFF"/>
        </w:rPr>
        <w:t> </w:t>
      </w:r>
      <w:hyperlink r:id="rId7" w:history="1">
        <w:r>
          <w:rPr>
            <w:rStyle w:val="a7"/>
            <w:rFonts w:ascii="Arial" w:hAnsi="Arial" w:cs="Arial"/>
            <w:color w:val="9E9E9E"/>
            <w:shd w:val="clear" w:color="auto" w:fill="FFFFFF"/>
          </w:rPr>
          <w:t>产品名录</w:t>
        </w:r>
      </w:hyperlink>
      <w:r>
        <w:rPr>
          <w:rStyle w:val="apple-converted-space"/>
          <w:rFonts w:ascii="Arial" w:hAnsi="Arial" w:cs="Arial"/>
          <w:color w:val="9E9E9E"/>
          <w:shd w:val="clear" w:color="auto" w:fill="FFFFFF"/>
        </w:rPr>
        <w:t> </w:t>
      </w:r>
      <w:r>
        <w:rPr>
          <w:rFonts w:ascii="Arial" w:hAnsi="Arial" w:cs="Arial"/>
          <w:color w:val="9E9E9E"/>
          <w:sz w:val="18"/>
          <w:szCs w:val="18"/>
          <w:shd w:val="clear" w:color="auto" w:fill="FFFFFF"/>
        </w:rPr>
        <w:t>-</w:t>
      </w:r>
      <w:r>
        <w:rPr>
          <w:rStyle w:val="apple-converted-space"/>
          <w:rFonts w:ascii="Arial" w:hAnsi="Arial" w:cs="Arial"/>
          <w:color w:val="9E9E9E"/>
          <w:shd w:val="clear" w:color="auto" w:fill="FFFFFF"/>
        </w:rPr>
        <w:t> </w:t>
      </w:r>
      <w:r>
        <w:rPr>
          <w:rFonts w:ascii="Arial" w:hAnsi="Arial" w:cs="Arial"/>
          <w:color w:val="B41B18"/>
          <w:sz w:val="18"/>
          <w:szCs w:val="18"/>
          <w:shd w:val="clear" w:color="auto" w:fill="FFFFFF"/>
        </w:rPr>
        <w:t>涌利</w:t>
      </w:r>
      <w:r>
        <w:rPr>
          <w:rFonts w:ascii="Arial" w:hAnsi="Arial" w:cs="Arial"/>
          <w:color w:val="B41B18"/>
          <w:sz w:val="18"/>
          <w:szCs w:val="18"/>
          <w:shd w:val="clear" w:color="auto" w:fill="FFFFFF"/>
        </w:rPr>
        <w:t>1</w:t>
      </w:r>
      <w:r>
        <w:rPr>
          <w:rFonts w:ascii="Arial" w:hAnsi="Arial" w:cs="Arial"/>
          <w:color w:val="B41B18"/>
          <w:sz w:val="18"/>
          <w:szCs w:val="18"/>
          <w:shd w:val="clear" w:color="auto" w:fill="FFFFFF"/>
        </w:rPr>
        <w:t>号</w:t>
      </w:r>
    </w:p>
    <w:p w:rsidR="0061037D" w:rsidRDefault="0061037D" w:rsidP="0061037D">
      <w:pPr>
        <w:shd w:val="clear" w:color="auto" w:fill="FEFEFE"/>
        <w:spacing w:line="630" w:lineRule="atLeast"/>
        <w:ind w:left="720"/>
        <w:jc w:val="center"/>
        <w:rPr>
          <w:rFonts w:ascii="Arial" w:hAnsi="Arial" w:cs="Arial"/>
          <w:color w:val="333333"/>
          <w:sz w:val="18"/>
          <w:szCs w:val="18"/>
        </w:rPr>
      </w:pPr>
      <w:hyperlink r:id="rId8" w:history="1">
        <w:r>
          <w:rPr>
            <w:rStyle w:val="a7"/>
            <w:rFonts w:ascii="Arial" w:hAnsi="Arial" w:cs="Arial"/>
            <w:color w:val="FFFFFF"/>
          </w:rPr>
          <w:t>产品介绍</w:t>
        </w:r>
      </w:hyperlink>
    </w:p>
    <w:p w:rsidR="0061037D" w:rsidRDefault="0061037D" w:rsidP="0061037D">
      <w:pPr>
        <w:shd w:val="clear" w:color="auto" w:fill="FEFEFE"/>
        <w:spacing w:line="630" w:lineRule="atLeast"/>
        <w:ind w:left="720"/>
        <w:jc w:val="center"/>
        <w:rPr>
          <w:rFonts w:ascii="Arial" w:hAnsi="Arial" w:cs="Arial"/>
          <w:color w:val="333333"/>
          <w:sz w:val="18"/>
          <w:szCs w:val="18"/>
        </w:rPr>
      </w:pPr>
      <w:hyperlink r:id="rId9" w:history="1">
        <w:r>
          <w:rPr>
            <w:rStyle w:val="a7"/>
            <w:rFonts w:ascii="Arial" w:hAnsi="Arial" w:cs="Arial"/>
            <w:color w:val="A11513"/>
          </w:rPr>
          <w:t>管理报告</w:t>
        </w:r>
      </w:hyperlink>
    </w:p>
    <w:p w:rsidR="0061037D" w:rsidRDefault="0061037D" w:rsidP="0061037D">
      <w:pPr>
        <w:shd w:val="clear" w:color="auto" w:fill="FEFEFE"/>
        <w:spacing w:line="630" w:lineRule="atLeast"/>
        <w:ind w:left="720"/>
        <w:jc w:val="center"/>
        <w:rPr>
          <w:rFonts w:ascii="Arial" w:hAnsi="Arial" w:cs="Arial"/>
          <w:color w:val="333333"/>
          <w:sz w:val="18"/>
          <w:szCs w:val="18"/>
        </w:rPr>
      </w:pPr>
      <w:hyperlink r:id="rId10" w:history="1">
        <w:r>
          <w:rPr>
            <w:rStyle w:val="a7"/>
            <w:rFonts w:ascii="Arial" w:hAnsi="Arial" w:cs="Arial"/>
            <w:color w:val="A11513"/>
          </w:rPr>
          <w:t>相关公告</w:t>
        </w:r>
      </w:hyperlink>
    </w:p>
    <w:p w:rsidR="0061037D" w:rsidRDefault="0061037D" w:rsidP="0061037D">
      <w:pPr>
        <w:shd w:val="clear" w:color="auto" w:fill="FEFEFE"/>
        <w:spacing w:line="630" w:lineRule="atLeast"/>
        <w:ind w:left="720"/>
        <w:jc w:val="center"/>
        <w:rPr>
          <w:rFonts w:ascii="Arial" w:hAnsi="Arial" w:cs="Arial"/>
          <w:color w:val="333333"/>
          <w:sz w:val="18"/>
          <w:szCs w:val="18"/>
        </w:rPr>
      </w:pPr>
      <w:hyperlink r:id="rId11" w:history="1">
        <w:r>
          <w:rPr>
            <w:rStyle w:val="a7"/>
            <w:rFonts w:ascii="Arial" w:hAnsi="Arial" w:cs="Arial"/>
            <w:color w:val="A11513"/>
          </w:rPr>
          <w:t>兑付公告</w:t>
        </w:r>
      </w:hyperlink>
    </w:p>
    <w:p w:rsidR="0061037D" w:rsidRDefault="0061037D" w:rsidP="0061037D">
      <w:pPr>
        <w:shd w:val="clear" w:color="auto" w:fill="FEFEFE"/>
        <w:spacing w:line="630" w:lineRule="atLeast"/>
        <w:ind w:left="720"/>
        <w:jc w:val="center"/>
        <w:rPr>
          <w:rFonts w:ascii="Arial" w:hAnsi="Arial" w:cs="Arial"/>
          <w:color w:val="333333"/>
          <w:sz w:val="18"/>
          <w:szCs w:val="18"/>
        </w:rPr>
      </w:pPr>
      <w:hyperlink r:id="rId12" w:history="1">
        <w:r>
          <w:rPr>
            <w:rStyle w:val="a7"/>
            <w:rFonts w:ascii="Arial" w:hAnsi="Arial" w:cs="Arial"/>
            <w:color w:val="A11513"/>
          </w:rPr>
          <w:t>净值披露</w:t>
        </w:r>
      </w:hyperlink>
    </w:p>
    <w:p w:rsidR="0061037D" w:rsidRDefault="0061037D" w:rsidP="0061037D">
      <w:pPr>
        <w:shd w:val="clear" w:color="auto" w:fill="FCFCFC"/>
        <w:spacing w:line="360" w:lineRule="atLeast"/>
        <w:jc w:val="left"/>
        <w:rPr>
          <w:rFonts w:ascii="Arial" w:hAnsi="Arial" w:cs="Arial"/>
          <w:color w:val="333333"/>
          <w:sz w:val="18"/>
          <w:szCs w:val="18"/>
        </w:rPr>
      </w:pPr>
      <w:r>
        <w:rPr>
          <w:rFonts w:ascii="Arial" w:hAnsi="Arial" w:cs="Arial"/>
          <w:color w:val="333333"/>
          <w:sz w:val="18"/>
          <w:szCs w:val="18"/>
        </w:rPr>
        <w:t> </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1、信托名称：</w:t>
      </w:r>
      <w:r>
        <w:rPr>
          <w:rFonts w:ascii="新宋体" w:eastAsia="新宋体" w:hAnsi="新宋体" w:cs="Arial" w:hint="eastAsia"/>
          <w:color w:val="333333"/>
        </w:rPr>
        <w:t>涌利1号集合资金信托计划</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2、募集规模：</w:t>
      </w:r>
      <w:r>
        <w:rPr>
          <w:rFonts w:ascii="新宋体" w:eastAsia="新宋体" w:hAnsi="新宋体" w:cs="Arial" w:hint="eastAsia"/>
          <w:color w:val="333333"/>
        </w:rPr>
        <w:t>136400万元以信托计划成立时募集资金规模以信托计划成立时的实际募集资金规模为准</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3、信托期限：</w:t>
      </w:r>
      <w:r>
        <w:rPr>
          <w:rFonts w:ascii="新宋体" w:eastAsia="新宋体" w:hAnsi="新宋体" w:cs="Arial" w:hint="eastAsia"/>
          <w:color w:val="333333"/>
        </w:rPr>
        <w:t>27个月</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4、预期收益率:</w:t>
      </w:r>
      <w:r>
        <w:rPr>
          <w:rFonts w:ascii="新宋体" w:eastAsia="新宋体" w:hAnsi="新宋体" w:cs="Arial" w:hint="eastAsia"/>
          <w:color w:val="333333"/>
        </w:rPr>
        <w:t>优先级预期年化收益率为4.8%。</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5、推介期：</w:t>
      </w:r>
      <w:r>
        <w:rPr>
          <w:rFonts w:ascii="新宋体" w:eastAsia="新宋体" w:hAnsi="新宋体" w:cs="Arial" w:hint="eastAsia"/>
          <w:color w:val="333333"/>
        </w:rPr>
        <w:t>2012年11月28日到2012年12月3日，受托人有权根据实际申购情况延长或提前终止申购期,受托人可根据信托资金的实际募集情况进行相应调整。</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6、信托收益分配：</w:t>
      </w:r>
      <w:r>
        <w:rPr>
          <w:rFonts w:ascii="新宋体" w:eastAsia="新宋体" w:hAnsi="新宋体" w:cs="Arial" w:hint="eastAsia"/>
          <w:color w:val="333333"/>
        </w:rPr>
        <w:t>每个季度末月最后一个估值日和信托计划终止日为信托报酬核算日,核算日后10个工作日内支付。</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7、资金运用方式：</w:t>
      </w:r>
      <w:r>
        <w:rPr>
          <w:rFonts w:ascii="新宋体" w:eastAsia="新宋体" w:hAnsi="新宋体" w:cs="Arial" w:hint="eastAsia"/>
          <w:color w:val="333333"/>
        </w:rPr>
        <w:t>委托人基于对受托人和投资顾问的信任,资源将资金委托给受托人,由受托人集合管理运用投资于固定收益类产品.</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9、保管银行：</w:t>
      </w:r>
      <w:r>
        <w:rPr>
          <w:rFonts w:ascii="新宋体" w:eastAsia="新宋体" w:hAnsi="新宋体" w:cs="Arial" w:hint="eastAsia"/>
          <w:color w:val="333333"/>
        </w:rPr>
        <w:t>中国银行</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10、认购额：</w:t>
      </w:r>
      <w:r>
        <w:rPr>
          <w:rFonts w:ascii="新宋体" w:eastAsia="新宋体" w:hAnsi="新宋体" w:cs="Arial" w:hint="eastAsia"/>
          <w:color w:val="333333"/>
        </w:rPr>
        <w:t>优先级受益人：机构</w:t>
      </w:r>
      <w:r>
        <w:rPr>
          <w:rStyle w:val="apple-converted-space"/>
          <w:rFonts w:ascii="新宋体" w:eastAsia="新宋体" w:hAnsi="新宋体" w:cs="Arial" w:hint="eastAsia"/>
          <w:color w:val="333333"/>
        </w:rPr>
        <w:t> </w:t>
      </w:r>
      <w:r>
        <w:rPr>
          <w:rFonts w:ascii="新宋体" w:eastAsia="新宋体" w:hAnsi="新宋体" w:cs="Arial" w:hint="eastAsia"/>
          <w:color w:val="333333"/>
        </w:rPr>
        <w:t>110000万元 夹层受益人:机构</w:t>
      </w:r>
      <w:r>
        <w:rPr>
          <w:rStyle w:val="apple-converted-space"/>
          <w:rFonts w:ascii="新宋体" w:eastAsia="新宋体" w:hAnsi="新宋体" w:cs="Arial" w:hint="eastAsia"/>
          <w:color w:val="333333"/>
        </w:rPr>
        <w:t> </w:t>
      </w:r>
      <w:r>
        <w:rPr>
          <w:rFonts w:ascii="新宋体" w:eastAsia="新宋体" w:hAnsi="新宋体" w:cs="Arial" w:hint="eastAsia"/>
          <w:color w:val="333333"/>
        </w:rPr>
        <w:t>22000万元 </w:t>
      </w:r>
      <w:r>
        <w:rPr>
          <w:rStyle w:val="apple-converted-space"/>
          <w:rFonts w:ascii="新宋体" w:eastAsia="新宋体" w:hAnsi="新宋体" w:cs="Arial" w:hint="eastAsia"/>
          <w:color w:val="333333"/>
        </w:rPr>
        <w:t> </w:t>
      </w:r>
      <w:r>
        <w:rPr>
          <w:rFonts w:ascii="新宋体" w:eastAsia="新宋体" w:hAnsi="新宋体" w:cs="Arial" w:hint="eastAsia"/>
          <w:color w:val="333333"/>
        </w:rPr>
        <w:t>一般级受益人：合格投资者</w:t>
      </w:r>
      <w:r>
        <w:rPr>
          <w:rStyle w:val="apple-converted-space"/>
          <w:rFonts w:ascii="新宋体" w:eastAsia="新宋体" w:hAnsi="新宋体" w:cs="Arial" w:hint="eastAsia"/>
          <w:color w:val="333333"/>
        </w:rPr>
        <w:t> </w:t>
      </w:r>
      <w:r>
        <w:rPr>
          <w:rFonts w:ascii="新宋体" w:eastAsia="新宋体" w:hAnsi="新宋体" w:cs="Arial" w:hint="eastAsia"/>
          <w:color w:val="333333"/>
        </w:rPr>
        <w:t>4400万元</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11、</w:t>
      </w:r>
      <w:r>
        <w:rPr>
          <w:rFonts w:ascii="新宋体" w:eastAsia="新宋体" w:hAnsi="新宋体" w:cs="Arial" w:hint="eastAsia"/>
          <w:color w:val="333333"/>
        </w:rPr>
        <w:t>申购期汇款及支票缴存账户</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账户名：云南国际信托有限公司</w:t>
      </w:r>
    </w:p>
    <w:p w:rsidR="0061037D" w:rsidRDefault="0061037D" w:rsidP="0061037D">
      <w:pPr>
        <w:pStyle w:val="a5"/>
        <w:shd w:val="clear" w:color="auto" w:fill="FCFCFC"/>
        <w:spacing w:before="0" w:beforeAutospacing="0" w:after="0" w:afterAutospacing="0" w:line="360" w:lineRule="atLeast"/>
        <w:ind w:firstLine="630"/>
        <w:rPr>
          <w:rFonts w:ascii="Arial" w:hAnsi="Arial" w:cs="Arial"/>
          <w:color w:val="333333"/>
          <w:sz w:val="18"/>
          <w:szCs w:val="18"/>
        </w:rPr>
      </w:pPr>
      <w:r>
        <w:rPr>
          <w:rFonts w:ascii="新宋体" w:eastAsia="新宋体" w:hAnsi="新宋体" w:cs="Arial" w:hint="eastAsia"/>
          <w:color w:val="333333"/>
        </w:rPr>
        <w:t>开户行:中国银行北京投资广场支行</w:t>
      </w:r>
    </w:p>
    <w:p w:rsidR="0061037D" w:rsidRDefault="0061037D" w:rsidP="0061037D">
      <w:pPr>
        <w:pStyle w:val="a5"/>
        <w:shd w:val="clear" w:color="auto" w:fill="FCFCFC"/>
        <w:spacing w:before="0" w:beforeAutospacing="0" w:after="0" w:afterAutospacing="0" w:line="360" w:lineRule="atLeast"/>
        <w:jc w:val="center"/>
        <w:rPr>
          <w:rFonts w:ascii="Arial" w:hAnsi="Arial" w:cs="Arial"/>
          <w:color w:val="333333"/>
          <w:sz w:val="18"/>
          <w:szCs w:val="18"/>
        </w:rPr>
      </w:pPr>
      <w:r>
        <w:rPr>
          <w:rFonts w:ascii="新宋体" w:eastAsia="新宋体" w:hAnsi="新宋体" w:cs="Arial" w:hint="eastAsia"/>
          <w:b/>
          <w:bCs/>
          <w:color w:val="333333"/>
        </w:rPr>
        <w:t>产品其他要素</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1、风险控制措施：</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我公司作为信托计划的受托人，在与委托人签署信托合同的同时，与委托人签署了《信托资金管理、运用风险申明书》。</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2、信息披露透明：</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（1）云南信托每季度在公司网站和营业场所发布本项目管理报告，向投资人报告本项目管理运行情况，保证投资者能及时了解资金使用和管理全过程，放心投资。</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（2）受托人云南信托对本信托的信息披露以在受托人网站www.yntuust.com上公布的方式报告委托人和受益人，同时有关信息将在受托人的办公场所存放备查，或由受托人寄送。</w:t>
      </w:r>
    </w:p>
    <w:p w:rsidR="0061037D" w:rsidRDefault="0061037D" w:rsidP="0061037D">
      <w:pPr>
        <w:pStyle w:val="a5"/>
        <w:shd w:val="clear" w:color="auto" w:fill="FCFCFC"/>
        <w:spacing w:before="0" w:beforeAutospacing="0" w:after="0" w:afterAutospacing="0" w:line="360" w:lineRule="atLeast"/>
        <w:ind w:firstLine="643"/>
        <w:rPr>
          <w:rFonts w:ascii="Arial" w:hAnsi="Arial" w:cs="Arial"/>
          <w:color w:val="333333"/>
          <w:sz w:val="18"/>
          <w:szCs w:val="18"/>
        </w:rPr>
      </w:pPr>
      <w:r>
        <w:rPr>
          <w:rFonts w:ascii="新宋体" w:eastAsia="新宋体" w:hAnsi="新宋体" w:cs="Arial" w:hint="eastAsia"/>
          <w:b/>
          <w:bCs/>
          <w:color w:val="333333"/>
        </w:rPr>
        <w:t>3、相关当事方介绍：</w:t>
      </w:r>
      <w:r>
        <w:rPr>
          <w:rFonts w:ascii="新宋体" w:eastAsia="新宋体" w:hAnsi="新宋体" w:cs="Arial" w:hint="eastAsia"/>
          <w:color w:val="333333"/>
        </w:rPr>
        <w:t>介绍和本项目有关的各方情况</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中国银行简介</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1912年2月，经孙中山先生批准，中国银行正式成立。从1912年至1949年，中国银行先后行使中央银行、国际汇兑银行和外贸专业银行职能，坚持以服务大众、振兴民族金融业为己任，稳健经营，锐意进取，各项业务取得了长足发展。新中国成立后，中国银行成为国家外汇外贸专业银行，为国家对外经贸发展和国内经济建设作出了重大贡献。1994年，中国银行改为国有独资商业银行。2003年，中国银行开始股份制改造。2004年8月，中国银行股份有限公司挂牌成立。2006年6月、7月，先后在香港联交所和上海证券交易所成功挂牌上市，成为首家在内地和香港发行上市的中国商业银行。</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中国银行是中国国际化和多元化程度最高的银行，在中国内地、香港、澳门、台湾及32个国家为客户提供全面的金融服务。主要经营商业银行业务，包括公司金融业务、个人金融业务和金融市场业务，并通过全资附属机构中银国际控股集团开展投资银行业务，通过全资子公司中银集团保险有限公司及其附属和联营公司经营保险业务，通过控股中银基金管理有限公司从事基金管理业务，通过全资子公司中银集团投资有限公司从事直接投资和投资管理业务，通过中银航空租赁私人有限公司经营飞机租赁业务。按核心资本计算，2009年中国银行在英国《银行家》杂志“世界1000家大银行”排名中列第十一位。2011年，中国银行入选全球系统重要性银行，这是中国及新兴市场国家唯一入选的金融机构。</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在一百年的发展历程中，中国银行始终秉承追求卓越的精神，将爱国爱民作为办行之魂，将诚信至上作为立行之本，将改革创新作为强行之路，将以人为本作为兴行之基，树立了卓越的品牌形象，得到了业界和客户的广泛认可和赞誉。面对新的历史机遇，中国银行将积极推进创新发展、转型发展、跨境发展，向着建设国际一流的大型跨国经营银行集团的战略目标不断迈进。</w:t>
      </w:r>
    </w:p>
    <w:p w:rsidR="0061037D" w:rsidRDefault="0061037D" w:rsidP="0061037D">
      <w:pPr>
        <w:pStyle w:val="a5"/>
        <w:shd w:val="clear" w:color="auto" w:fill="FCFCFC"/>
        <w:spacing w:before="0" w:beforeAutospacing="0" w:after="0" w:afterAutospacing="0" w:line="360" w:lineRule="atLeast"/>
        <w:ind w:firstLine="480"/>
        <w:rPr>
          <w:rFonts w:ascii="Arial" w:hAnsi="Arial" w:cs="Arial"/>
          <w:color w:val="333333"/>
          <w:sz w:val="18"/>
          <w:szCs w:val="18"/>
        </w:rPr>
      </w:pPr>
      <w:r>
        <w:rPr>
          <w:rFonts w:ascii="新宋体" w:eastAsia="新宋体" w:hAnsi="新宋体" w:cs="Arial" w:hint="eastAsia"/>
          <w:color w:val="333333"/>
        </w:rPr>
        <w:t>中信证券股份有限公司（以下简称“中信证券”或“公司”），于1995年10月25日在北京成立。2002年12月13日，经中国证券监督管理委员会核准，中信证券向社会公开发行4亿股普通A股股票，2003年1月6日在上海证券交易所挂牌上市交易，股票简称“中信证券”，股票代码“600030”。2011年10月6日在香港联合交易所上市交易，股票代码为”6030”。</w:t>
      </w:r>
    </w:p>
    <w:p w:rsidR="0061037D" w:rsidRDefault="0061037D" w:rsidP="0061037D">
      <w:pPr>
        <w:pStyle w:val="a5"/>
        <w:shd w:val="clear" w:color="auto" w:fill="FCFCFC"/>
        <w:spacing w:before="0" w:beforeAutospacing="0" w:after="0" w:afterAutospacing="0" w:line="360" w:lineRule="atLeast"/>
        <w:ind w:firstLine="480"/>
        <w:rPr>
          <w:rFonts w:ascii="Arial" w:hAnsi="Arial" w:cs="Arial"/>
          <w:color w:val="333333"/>
          <w:sz w:val="18"/>
          <w:szCs w:val="18"/>
        </w:rPr>
      </w:pPr>
      <w:r>
        <w:rPr>
          <w:rFonts w:ascii="新宋体" w:eastAsia="新宋体" w:hAnsi="新宋体" w:cs="Arial" w:hint="eastAsia"/>
          <w:color w:val="333333"/>
        </w:rPr>
        <w:t>中信证券主营业务范围为：证券经纪（限山东省、河南省、浙江省、福建省、江西省以外区域）；证券投资咨询；与证券交易、证券投资活动有关的财务顾问；证券承销与保荐；证券自营；证券资产管理；融资融券；证券投资基金代销；为期货公司提供中间介绍业务。</w:t>
      </w:r>
    </w:p>
    <w:p w:rsidR="0061037D" w:rsidRDefault="0061037D" w:rsidP="0061037D">
      <w:pPr>
        <w:pStyle w:val="a5"/>
        <w:shd w:val="clear" w:color="auto" w:fill="FCFCFC"/>
        <w:spacing w:before="0" w:beforeAutospacing="0" w:after="0" w:afterAutospacing="0" w:line="360" w:lineRule="atLeast"/>
        <w:ind w:firstLine="883"/>
        <w:jc w:val="center"/>
        <w:rPr>
          <w:rFonts w:ascii="Arial" w:hAnsi="Arial" w:cs="Arial"/>
          <w:color w:val="333333"/>
          <w:sz w:val="18"/>
          <w:szCs w:val="18"/>
        </w:rPr>
      </w:pPr>
      <w:r>
        <w:rPr>
          <w:rFonts w:ascii="新宋体" w:eastAsia="新宋体" w:hAnsi="新宋体" w:cs="Arial" w:hint="eastAsia"/>
          <w:b/>
          <w:bCs/>
          <w:color w:val="333333"/>
        </w:rPr>
        <w:t>风险提示</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本信托计划不承诺保本和最低收益，在信托财产管理运用和处分中，本项目存在市场风险、政策风险、道德风险、投资风险、管理风险、信托计划提前终止或延期的风险等。受托人管理的其他信托计划的业绩，并不构成本信托计划业绩表现的保证。本资料仅作为信托计划的说明材料，并不构成对潜在投资者的要约行为。投资者购买信托产品时，请以信托文件约定的内容为准。信托投资有风险，请投资者审慎。</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您可以登录我公司的网站www.yntrust.com了解该信托计划运作情况和我公司将推出的其他信托产品信息。如您对信托计划有疑问或对客户服务有要求，请联系我公司财富管理总部。</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服务电话：4006108899</w:t>
      </w:r>
    </w:p>
    <w:p w:rsidR="0061037D" w:rsidRDefault="0061037D" w:rsidP="0061037D">
      <w:pPr>
        <w:pStyle w:val="a5"/>
        <w:shd w:val="clear" w:color="auto" w:fill="FCFCFC"/>
        <w:spacing w:before="0" w:beforeAutospacing="0" w:after="0" w:afterAutospacing="0" w:line="360" w:lineRule="atLeast"/>
        <w:ind w:firstLine="640"/>
        <w:rPr>
          <w:rFonts w:ascii="Arial" w:hAnsi="Arial" w:cs="Arial"/>
          <w:color w:val="333333"/>
          <w:sz w:val="18"/>
          <w:szCs w:val="18"/>
        </w:rPr>
      </w:pPr>
      <w:r>
        <w:rPr>
          <w:rFonts w:ascii="新宋体" w:eastAsia="新宋体" w:hAnsi="新宋体" w:cs="Arial" w:hint="eastAsia"/>
          <w:color w:val="333333"/>
        </w:rPr>
        <w:t>感谢您对我公司的信任和支持!</w:t>
      </w:r>
    </w:p>
    <w:p w:rsidR="0001065D" w:rsidRPr="0061037D" w:rsidRDefault="0001065D" w:rsidP="0061037D"/>
    <w:sectPr w:rsidR="0001065D" w:rsidRPr="0061037D" w:rsidSect="0001065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2412" w:rsidRDefault="00C72412" w:rsidP="00B47A64">
      <w:r>
        <w:separator/>
      </w:r>
    </w:p>
  </w:endnote>
  <w:endnote w:type="continuationSeparator" w:id="0">
    <w:p w:rsidR="00C72412" w:rsidRDefault="00C72412" w:rsidP="00B47A6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2412" w:rsidRDefault="00C72412" w:rsidP="00B47A64">
      <w:r>
        <w:separator/>
      </w:r>
    </w:p>
  </w:footnote>
  <w:footnote w:type="continuationSeparator" w:id="0">
    <w:p w:rsidR="00C72412" w:rsidRDefault="00C72412" w:rsidP="00B47A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47A64"/>
    <w:rsid w:val="0001065D"/>
    <w:rsid w:val="000C405E"/>
    <w:rsid w:val="00192B40"/>
    <w:rsid w:val="003B4D8D"/>
    <w:rsid w:val="00402642"/>
    <w:rsid w:val="004F19FD"/>
    <w:rsid w:val="00517704"/>
    <w:rsid w:val="005C6339"/>
    <w:rsid w:val="0061037D"/>
    <w:rsid w:val="00851B9F"/>
    <w:rsid w:val="00B26AD3"/>
    <w:rsid w:val="00B47A64"/>
    <w:rsid w:val="00BB6E59"/>
    <w:rsid w:val="00C30ABF"/>
    <w:rsid w:val="00C72412"/>
    <w:rsid w:val="00CB69BC"/>
    <w:rsid w:val="00DA0F99"/>
    <w:rsid w:val="00EB36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6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7A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47A64"/>
    <w:rPr>
      <w:sz w:val="18"/>
      <w:szCs w:val="18"/>
    </w:rPr>
  </w:style>
  <w:style w:type="paragraph" w:styleId="a4">
    <w:name w:val="footer"/>
    <w:basedOn w:val="a"/>
    <w:link w:val="Char0"/>
    <w:uiPriority w:val="99"/>
    <w:semiHidden/>
    <w:unhideWhenUsed/>
    <w:rsid w:val="00B47A6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47A64"/>
    <w:rPr>
      <w:sz w:val="18"/>
      <w:szCs w:val="18"/>
    </w:rPr>
  </w:style>
  <w:style w:type="character" w:customStyle="1" w:styleId="textred">
    <w:name w:val="text_red"/>
    <w:basedOn w:val="a0"/>
    <w:rsid w:val="00B47A64"/>
  </w:style>
  <w:style w:type="character" w:customStyle="1" w:styleId="apple-converted-space">
    <w:name w:val="apple-converted-space"/>
    <w:basedOn w:val="a0"/>
    <w:rsid w:val="00B47A64"/>
  </w:style>
  <w:style w:type="paragraph" w:styleId="a5">
    <w:name w:val="Normal (Web)"/>
    <w:basedOn w:val="a"/>
    <w:uiPriority w:val="99"/>
    <w:semiHidden/>
    <w:unhideWhenUsed/>
    <w:rsid w:val="004F19F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C405E"/>
    <w:rPr>
      <w:b/>
      <w:bCs/>
    </w:rPr>
  </w:style>
  <w:style w:type="character" w:styleId="a7">
    <w:name w:val="Hyperlink"/>
    <w:basedOn w:val="a0"/>
    <w:uiPriority w:val="99"/>
    <w:semiHidden/>
    <w:unhideWhenUsed/>
    <w:rsid w:val="000C405E"/>
    <w:rPr>
      <w:color w:val="0000FF"/>
      <w:u w:val="single"/>
    </w:rPr>
  </w:style>
</w:styles>
</file>

<file path=word/webSettings.xml><?xml version="1.0" encoding="utf-8"?>
<w:webSettings xmlns:r="http://schemas.openxmlformats.org/officeDocument/2006/relationships" xmlns:w="http://schemas.openxmlformats.org/wordprocessingml/2006/main">
  <w:divs>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777822075">
      <w:bodyDiv w:val="1"/>
      <w:marLeft w:val="0"/>
      <w:marRight w:val="0"/>
      <w:marTop w:val="0"/>
      <w:marBottom w:val="0"/>
      <w:divBdr>
        <w:top w:val="none" w:sz="0" w:space="0" w:color="auto"/>
        <w:left w:val="none" w:sz="0" w:space="0" w:color="auto"/>
        <w:bottom w:val="none" w:sz="0" w:space="0" w:color="auto"/>
        <w:right w:val="none" w:sz="0" w:space="0" w:color="auto"/>
      </w:divBdr>
      <w:divsChild>
        <w:div w:id="321470331">
          <w:marLeft w:val="0"/>
          <w:marRight w:val="0"/>
          <w:marTop w:val="0"/>
          <w:marBottom w:val="0"/>
          <w:divBdr>
            <w:top w:val="none" w:sz="0" w:space="0" w:color="auto"/>
            <w:left w:val="none" w:sz="0" w:space="0" w:color="auto"/>
            <w:bottom w:val="none" w:sz="0" w:space="0" w:color="auto"/>
            <w:right w:val="none" w:sz="0" w:space="0" w:color="auto"/>
          </w:divBdr>
        </w:div>
        <w:div w:id="2132356963">
          <w:marLeft w:val="0"/>
          <w:marRight w:val="0"/>
          <w:marTop w:val="0"/>
          <w:marBottom w:val="0"/>
          <w:divBdr>
            <w:top w:val="none" w:sz="0" w:space="0" w:color="auto"/>
            <w:left w:val="none" w:sz="0" w:space="0" w:color="auto"/>
            <w:bottom w:val="none" w:sz="0" w:space="0" w:color="auto"/>
            <w:right w:val="none" w:sz="0" w:space="0" w:color="auto"/>
          </w:divBdr>
        </w:div>
        <w:div w:id="1939948191">
          <w:marLeft w:val="0"/>
          <w:marRight w:val="0"/>
          <w:marTop w:val="0"/>
          <w:marBottom w:val="0"/>
          <w:divBdr>
            <w:top w:val="single" w:sz="6" w:space="23" w:color="F2F2F2"/>
            <w:left w:val="single" w:sz="6" w:space="15" w:color="F2F2F2"/>
            <w:bottom w:val="single" w:sz="6" w:space="23" w:color="F2F2F2"/>
            <w:right w:val="single" w:sz="6" w:space="15" w:color="F2F2F2"/>
          </w:divBdr>
        </w:div>
      </w:divsChild>
    </w:div>
    <w:div w:id="1876889353">
      <w:bodyDiv w:val="1"/>
      <w:marLeft w:val="0"/>
      <w:marRight w:val="0"/>
      <w:marTop w:val="0"/>
      <w:marBottom w:val="0"/>
      <w:divBdr>
        <w:top w:val="none" w:sz="0" w:space="0" w:color="auto"/>
        <w:left w:val="none" w:sz="0" w:space="0" w:color="auto"/>
        <w:bottom w:val="none" w:sz="0" w:space="0" w:color="auto"/>
        <w:right w:val="none" w:sz="0" w:space="0" w:color="auto"/>
      </w:divBdr>
    </w:div>
    <w:div w:id="1941448926">
      <w:bodyDiv w:val="1"/>
      <w:marLeft w:val="0"/>
      <w:marRight w:val="0"/>
      <w:marTop w:val="0"/>
      <w:marBottom w:val="0"/>
      <w:divBdr>
        <w:top w:val="none" w:sz="0" w:space="0" w:color="auto"/>
        <w:left w:val="none" w:sz="0" w:space="0" w:color="auto"/>
        <w:bottom w:val="none" w:sz="0" w:space="0" w:color="auto"/>
        <w:right w:val="none" w:sz="0" w:space="0" w:color="auto"/>
      </w:divBdr>
    </w:div>
    <w:div w:id="1991783661">
      <w:bodyDiv w:val="1"/>
      <w:marLeft w:val="0"/>
      <w:marRight w:val="0"/>
      <w:marTop w:val="0"/>
      <w:marBottom w:val="0"/>
      <w:divBdr>
        <w:top w:val="none" w:sz="0" w:space="0" w:color="auto"/>
        <w:left w:val="none" w:sz="0" w:space="0" w:color="auto"/>
        <w:bottom w:val="none" w:sz="0" w:space="0" w:color="auto"/>
        <w:right w:val="none" w:sz="0" w:space="0" w:color="auto"/>
      </w:divBdr>
      <w:divsChild>
        <w:div w:id="497696016">
          <w:marLeft w:val="0"/>
          <w:marRight w:val="0"/>
          <w:marTop w:val="0"/>
          <w:marBottom w:val="0"/>
          <w:divBdr>
            <w:top w:val="none" w:sz="0" w:space="0" w:color="auto"/>
            <w:left w:val="none" w:sz="0" w:space="0" w:color="auto"/>
            <w:bottom w:val="none" w:sz="0" w:space="0" w:color="auto"/>
            <w:right w:val="none" w:sz="0" w:space="0" w:color="auto"/>
          </w:divBdr>
        </w:div>
        <w:div w:id="903948110">
          <w:marLeft w:val="0"/>
          <w:marRight w:val="0"/>
          <w:marTop w:val="0"/>
          <w:marBottom w:val="0"/>
          <w:divBdr>
            <w:top w:val="none" w:sz="0" w:space="0" w:color="auto"/>
            <w:left w:val="none" w:sz="0" w:space="0" w:color="auto"/>
            <w:bottom w:val="none" w:sz="0" w:space="0" w:color="auto"/>
            <w:right w:val="none" w:sz="0" w:space="0" w:color="auto"/>
          </w:divBdr>
        </w:div>
        <w:div w:id="1872380926">
          <w:marLeft w:val="0"/>
          <w:marRight w:val="0"/>
          <w:marTop w:val="0"/>
          <w:marBottom w:val="0"/>
          <w:divBdr>
            <w:top w:val="single" w:sz="6" w:space="23" w:color="F2F2F2"/>
            <w:left w:val="single" w:sz="6" w:space="15" w:color="F2F2F2"/>
            <w:bottom w:val="single" w:sz="6" w:space="23" w:color="F2F2F2"/>
            <w:right w:val="single" w:sz="6" w:space="15" w:color="F2F2F2"/>
          </w:divBdr>
        </w:div>
      </w:divsChild>
    </w:div>
    <w:div w:id="2023312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changgeProductArticleDiv(1);"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yntrust.com/product.html" TargetMode="External"/><Relationship Id="rId12" Type="http://schemas.openxmlformats.org/officeDocument/2006/relationships/hyperlink" Target="http://www.yntrust.com/netValueView/1357881433875.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ntrust.com/index.html" TargetMode="External"/><Relationship Id="rId11" Type="http://schemas.openxmlformats.org/officeDocument/2006/relationships/hyperlink" Target="javascript:changgeProductArticleDiv(4);" TargetMode="External"/><Relationship Id="rId5" Type="http://schemas.openxmlformats.org/officeDocument/2006/relationships/endnotes" Target="endnotes.xml"/><Relationship Id="rId10" Type="http://schemas.openxmlformats.org/officeDocument/2006/relationships/hyperlink" Target="javascript:changgeProductArticleDiv(3);" TargetMode="External"/><Relationship Id="rId4" Type="http://schemas.openxmlformats.org/officeDocument/2006/relationships/footnotes" Target="footnotes.xml"/><Relationship Id="rId9" Type="http://schemas.openxmlformats.org/officeDocument/2006/relationships/hyperlink" Target="javascript:changgeProductArticleDiv(2);"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374</Words>
  <Characters>2134</Characters>
  <Application>Microsoft Office Word</Application>
  <DocSecurity>0</DocSecurity>
  <Lines>17</Lines>
  <Paragraphs>5</Paragraphs>
  <ScaleCrop>false</ScaleCrop>
  <Company/>
  <LinksUpToDate>false</LinksUpToDate>
  <CharactersWithSpaces>2503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13</cp:revision>
  <dcterms:created xsi:type="dcterms:W3CDTF">2013-04-11T23:31:00Z</dcterms:created>
  <dcterms:modified xsi:type="dcterms:W3CDTF">2013-04-12T03:27:00Z</dcterms:modified>
</cp:coreProperties>
</file>