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DDE" w:rsidRPr="00BE5DDE" w:rsidRDefault="00BE5DDE" w:rsidP="00BE5DDE">
      <w:pPr>
        <w:widowControl/>
        <w:shd w:val="clear" w:color="auto" w:fill="F9F9F9"/>
        <w:spacing w:line="301" w:lineRule="atLeast"/>
        <w:jc w:val="center"/>
        <w:outlineLvl w:val="0"/>
        <w:rPr>
          <w:rFonts w:ascii="微软雅黑" w:eastAsia="微软雅黑" w:hAnsi="微软雅黑" w:cs="宋体"/>
          <w:color w:val="1270B7"/>
          <w:kern w:val="36"/>
          <w:sz w:val="30"/>
          <w:szCs w:val="30"/>
        </w:rPr>
      </w:pPr>
      <w:r w:rsidRPr="00BE5DDE">
        <w:rPr>
          <w:rFonts w:ascii="微软雅黑" w:eastAsia="微软雅黑" w:hAnsi="微软雅黑" w:cs="宋体" w:hint="eastAsia"/>
          <w:color w:val="1270B7"/>
          <w:kern w:val="36"/>
          <w:sz w:val="30"/>
          <w:szCs w:val="30"/>
        </w:rPr>
        <w:t>长安节节高1号对冲套利分级资产管理计划资产管理合同生效公告</w:t>
      </w:r>
    </w:p>
    <w:p w:rsidR="00BE5DDE" w:rsidRPr="00BE5DDE" w:rsidRDefault="00BE5DDE" w:rsidP="00BE5DDE">
      <w:pPr>
        <w:widowControl/>
        <w:shd w:val="clear" w:color="auto" w:fill="F9F9F9"/>
        <w:spacing w:line="268" w:lineRule="atLeast"/>
        <w:jc w:val="center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BE5DDE">
        <w:rPr>
          <w:rFonts w:ascii="宋体" w:eastAsia="宋体" w:hAnsi="宋体" w:cs="宋体" w:hint="eastAsia"/>
          <w:color w:val="AAAAAA"/>
          <w:kern w:val="0"/>
          <w:sz w:val="20"/>
          <w:szCs w:val="20"/>
        </w:rPr>
        <w:t>2013年05月17日</w:t>
      </w:r>
    </w:p>
    <w:p w:rsidR="00BE5DDE" w:rsidRPr="00BE5DDE" w:rsidRDefault="00BE5DDE" w:rsidP="00BE5DDE">
      <w:pPr>
        <w:widowControl/>
        <w:shd w:val="clear" w:color="auto" w:fill="FFFFFF"/>
        <w:spacing w:line="301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BE5DD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长安节节高1号对冲套利分级资产管理计划的备案手续已办理完毕，于2013年5月17日获得中国证监会的书面确认。《长安节节高1号对冲套利分级资产管理计划资产管理合同》自2013年5月17日起正式生效。</w:t>
      </w:r>
    </w:p>
    <w:p w:rsidR="00BE5DDE" w:rsidRPr="00BE5DDE" w:rsidRDefault="00BE5DDE" w:rsidP="00BE5DDE">
      <w:pPr>
        <w:widowControl/>
        <w:shd w:val="clear" w:color="auto" w:fill="FFFFFF"/>
        <w:spacing w:line="301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E5DD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特此公告。</w:t>
      </w:r>
    </w:p>
    <w:p w:rsidR="00BE5DDE" w:rsidRPr="00BE5DDE" w:rsidRDefault="00BE5DDE" w:rsidP="00BE5DDE">
      <w:pPr>
        <w:widowControl/>
        <w:shd w:val="clear" w:color="auto" w:fill="FFFFFF"/>
        <w:spacing w:line="301" w:lineRule="atLeast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E5DD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BE5DDE" w:rsidRPr="00BE5DDE" w:rsidRDefault="00BE5DDE" w:rsidP="00BE5DDE">
      <w:pPr>
        <w:widowControl/>
        <w:shd w:val="clear" w:color="auto" w:fill="FFFFFF"/>
        <w:spacing w:line="301" w:lineRule="atLeast"/>
        <w:ind w:firstLine="50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E5DD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长安基金管理有限公司</w:t>
      </w:r>
    </w:p>
    <w:p w:rsidR="00BE5DDE" w:rsidRPr="00BE5DDE" w:rsidRDefault="00BE5DDE" w:rsidP="00BE5DDE">
      <w:pPr>
        <w:widowControl/>
        <w:shd w:val="clear" w:color="auto" w:fill="FFFFFF"/>
        <w:spacing w:line="301" w:lineRule="atLeast"/>
        <w:ind w:firstLine="52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E5DD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2013年5月17日</w:t>
      </w:r>
    </w:p>
    <w:p w:rsidR="0025788D" w:rsidRDefault="00BE5DDE">
      <w:pPr>
        <w:rPr>
          <w:rFonts w:hint="eastAsia"/>
        </w:rPr>
      </w:pPr>
    </w:p>
    <w:sectPr w:rsidR="0025788D" w:rsidSect="00630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5DDE"/>
    <w:rsid w:val="00071CB7"/>
    <w:rsid w:val="00630515"/>
    <w:rsid w:val="00AB77A4"/>
    <w:rsid w:val="00BE5DDE"/>
    <w:rsid w:val="00DD4848"/>
    <w:rsid w:val="00FC6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51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5DD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5DD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3" w:color="D9EDF3"/>
            <w:right w:val="none" w:sz="0" w:space="0" w:color="auto"/>
          </w:divBdr>
        </w:div>
        <w:div w:id="443816479">
          <w:marLeft w:val="0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dongcai 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liuyifei</dc:creator>
  <cp:keywords/>
  <dc:description/>
  <cp:lastModifiedBy>liuyifei</cp:lastModifiedBy>
  <cp:revision>1</cp:revision>
  <dcterms:created xsi:type="dcterms:W3CDTF">2013-09-05T07:27:00Z</dcterms:created>
  <dcterms:modified xsi:type="dcterms:W3CDTF">2013-09-05T07:27:00Z</dcterms:modified>
</cp:coreProperties>
</file>