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B26" w:rsidRPr="00275B26" w:rsidRDefault="00275B26" w:rsidP="00275B26">
      <w:pPr>
        <w:widowControl/>
        <w:numPr>
          <w:ilvl w:val="0"/>
          <w:numId w:val="1"/>
        </w:numPr>
        <w:pBdr>
          <w:bottom w:val="single" w:sz="6" w:space="5" w:color="CCCCCC"/>
        </w:pBdr>
        <w:spacing w:line="217" w:lineRule="atLeast"/>
        <w:ind w:left="0"/>
        <w:jc w:val="left"/>
        <w:rPr>
          <w:rFonts w:ascii="宋体" w:eastAsia="宋体" w:hAnsi="宋体" w:cs="宋体"/>
          <w:kern w:val="0"/>
          <w:sz w:val="24"/>
          <w:szCs w:val="24"/>
        </w:rPr>
      </w:pPr>
      <w:hyperlink r:id="rId7" w:history="1">
        <w:r w:rsidRPr="00275B26">
          <w:rPr>
            <w:rFonts w:ascii="宋体" w:eastAsia="宋体" w:hAnsi="宋体" w:cs="宋体"/>
            <w:color w:val="000000"/>
            <w:kern w:val="0"/>
            <w:sz w:val="24"/>
            <w:szCs w:val="24"/>
          </w:rPr>
          <w:br/>
          <w:t>国民常盛金2号证券投资集合资金信托计划第十九季度管理报告</w:t>
        </w:r>
      </w:hyperlink>
      <w:r w:rsidRPr="00275B26">
        <w:rPr>
          <w:rFonts w:ascii="宋体" w:eastAsia="宋体" w:hAnsi="宋体" w:cs="宋体"/>
          <w:kern w:val="0"/>
          <w:sz w:val="24"/>
          <w:szCs w:val="24"/>
        </w:rPr>
        <w:t>国民•常盛金2号定期报告</w:t>
      </w:r>
    </w:p>
    <w:p w:rsidR="00275B26" w:rsidRPr="00275B26" w:rsidRDefault="00275B26" w:rsidP="00275B26">
      <w:pPr>
        <w:widowControl/>
        <w:shd w:val="clear" w:color="auto" w:fill="ECECEC"/>
        <w:wordWrap w:val="0"/>
        <w:spacing w:line="245" w:lineRule="atLeast"/>
        <w:rPr>
          <w:rFonts w:ascii="宋体" w:eastAsia="宋体" w:hAnsi="宋体" w:cs="宋体"/>
          <w:color w:val="505050"/>
          <w:kern w:val="0"/>
          <w:sz w:val="16"/>
          <w:szCs w:val="16"/>
        </w:rPr>
      </w:pPr>
      <w:r w:rsidRPr="00275B26">
        <w:rPr>
          <w:rFonts w:ascii="宋体" w:eastAsia="宋体" w:hAnsi="宋体" w:cs="宋体" w:hint="eastAsia"/>
          <w:b/>
          <w:bCs/>
          <w:color w:val="505050"/>
          <w:kern w:val="0"/>
          <w:sz w:val="16"/>
        </w:rPr>
        <w:t>尊敬的委托人/受益人：</w:t>
      </w:r>
    </w:p>
    <w:p w:rsidR="00275B26" w:rsidRPr="00275B26" w:rsidRDefault="00275B26" w:rsidP="00275B26">
      <w:pPr>
        <w:widowControl/>
        <w:shd w:val="clear" w:color="auto" w:fill="ECECEC"/>
        <w:wordWrap w:val="0"/>
        <w:spacing w:line="245" w:lineRule="atLeast"/>
        <w:rPr>
          <w:rFonts w:ascii="宋体" w:eastAsia="宋体" w:hAnsi="宋体" w:cs="宋体" w:hint="eastAsia"/>
          <w:color w:val="505050"/>
          <w:kern w:val="0"/>
          <w:sz w:val="16"/>
          <w:szCs w:val="16"/>
        </w:rPr>
      </w:pPr>
      <w:r w:rsidRPr="00275B26">
        <w:rPr>
          <w:rFonts w:ascii="宋体" w:eastAsia="宋体" w:hAnsi="宋体" w:cs="宋体" w:hint="eastAsia"/>
          <w:b/>
          <w:bCs/>
          <w:color w:val="505050"/>
          <w:kern w:val="0"/>
          <w:sz w:val="16"/>
        </w:rPr>
        <w:t>    您好！</w:t>
      </w:r>
    </w:p>
    <w:p w:rsidR="00275B26" w:rsidRPr="00275B26" w:rsidRDefault="00275B26" w:rsidP="00275B26">
      <w:pPr>
        <w:widowControl/>
        <w:shd w:val="clear" w:color="auto" w:fill="ECECEC"/>
        <w:wordWrap w:val="0"/>
        <w:spacing w:line="245" w:lineRule="atLeast"/>
        <w:rPr>
          <w:rFonts w:ascii="宋体" w:eastAsia="宋体" w:hAnsi="宋体" w:cs="宋体" w:hint="eastAsia"/>
          <w:color w:val="505050"/>
          <w:kern w:val="0"/>
          <w:sz w:val="16"/>
          <w:szCs w:val="16"/>
        </w:rPr>
      </w:pPr>
      <w:r w:rsidRPr="00275B26">
        <w:rPr>
          <w:rFonts w:ascii="宋体" w:eastAsia="宋体" w:hAnsi="宋体" w:cs="宋体" w:hint="eastAsia"/>
          <w:color w:val="505050"/>
          <w:kern w:val="0"/>
          <w:sz w:val="16"/>
          <w:szCs w:val="16"/>
        </w:rPr>
        <w:t> </w:t>
      </w:r>
    </w:p>
    <w:p w:rsidR="00275B26" w:rsidRPr="00275B26" w:rsidRDefault="00275B26" w:rsidP="00275B26">
      <w:pPr>
        <w:widowControl/>
        <w:shd w:val="clear" w:color="auto" w:fill="ECECEC"/>
        <w:wordWrap w:val="0"/>
        <w:spacing w:line="245" w:lineRule="atLeast"/>
        <w:rPr>
          <w:rFonts w:ascii="宋体" w:eastAsia="宋体" w:hAnsi="宋体" w:cs="宋体" w:hint="eastAsia"/>
          <w:color w:val="505050"/>
          <w:kern w:val="0"/>
          <w:sz w:val="16"/>
          <w:szCs w:val="16"/>
        </w:rPr>
      </w:pPr>
      <w:r w:rsidRPr="00275B26">
        <w:rPr>
          <w:rFonts w:ascii="宋体" w:eastAsia="宋体" w:hAnsi="宋体" w:cs="宋体" w:hint="eastAsia"/>
          <w:color w:val="505050"/>
          <w:kern w:val="0"/>
          <w:sz w:val="16"/>
          <w:szCs w:val="16"/>
        </w:rPr>
        <w:t>    国民常盛金2号证券投资集合资金信托计划（以下简称“本信托计划”）于2008年12月5日正式成立，信托期限为2008年12月5日至2021年12月4日。本信托计划共签订《国民常盛证券投资信托合同》2份，委托人2名，均为机构投资者，募集信托资金共计人民币50,000,000.00元整。本信托计划募集的信托资金主要投资于在上海证券交易所、深圳证券交易所公开挂牌交易或已经公开发行并即将公开挂牌交易的所有投资产品，以及中国银行业监督管理委员会许可发行的信托产品当前和未来可以投资的其他所有投资品种和银行存款。中国工商银行股份有限公司北京分行（以下简称“工商银行北京分行”）为本信托计划保管银行，为本信托计划项下财产提供保管服务；招商证券股份有限公司（以下简称“招商证券”）为本信托计划证券经纪人，为本信托计划提供证券经纪服务。</w:t>
      </w:r>
    </w:p>
    <w:p w:rsidR="00275B26" w:rsidRPr="00275B26" w:rsidRDefault="00275B26" w:rsidP="00275B26">
      <w:pPr>
        <w:widowControl/>
        <w:shd w:val="clear" w:color="auto" w:fill="ECECEC"/>
        <w:wordWrap w:val="0"/>
        <w:spacing w:line="245" w:lineRule="atLeast"/>
        <w:rPr>
          <w:rFonts w:ascii="宋体" w:eastAsia="宋体" w:hAnsi="宋体" w:cs="宋体" w:hint="eastAsia"/>
          <w:color w:val="505050"/>
          <w:kern w:val="0"/>
          <w:sz w:val="16"/>
          <w:szCs w:val="16"/>
        </w:rPr>
      </w:pPr>
      <w:r w:rsidRPr="00275B26">
        <w:rPr>
          <w:rFonts w:ascii="宋体" w:eastAsia="宋体" w:hAnsi="宋体" w:cs="宋体" w:hint="eastAsia"/>
          <w:color w:val="505050"/>
          <w:kern w:val="0"/>
          <w:sz w:val="16"/>
          <w:szCs w:val="16"/>
        </w:rPr>
        <w:t>    截至2013年9月30日，本信托计划第十九季度运行结束。我司作为受托人，根据信托文件的规定，现将本信托计划第十九季度的信托资金管理情况报告如下：</w:t>
      </w:r>
    </w:p>
    <w:p w:rsidR="00275B26" w:rsidRPr="00275B26" w:rsidRDefault="00275B26" w:rsidP="00275B26">
      <w:pPr>
        <w:widowControl/>
        <w:shd w:val="clear" w:color="auto" w:fill="ECECEC"/>
        <w:wordWrap w:val="0"/>
        <w:spacing w:line="245" w:lineRule="atLeast"/>
        <w:rPr>
          <w:rFonts w:ascii="宋体" w:eastAsia="宋体" w:hAnsi="宋体" w:cs="宋体" w:hint="eastAsia"/>
          <w:color w:val="505050"/>
          <w:kern w:val="0"/>
          <w:sz w:val="16"/>
          <w:szCs w:val="16"/>
        </w:rPr>
      </w:pPr>
      <w:r w:rsidRPr="00275B26">
        <w:rPr>
          <w:rFonts w:ascii="宋体" w:eastAsia="宋体" w:hAnsi="宋体" w:cs="宋体" w:hint="eastAsia"/>
          <w:color w:val="505050"/>
          <w:kern w:val="0"/>
          <w:sz w:val="16"/>
          <w:szCs w:val="16"/>
        </w:rPr>
        <w:t>    一、信托财产运作状况及收益情况</w:t>
      </w:r>
    </w:p>
    <w:p w:rsidR="00275B26" w:rsidRPr="00275B26" w:rsidRDefault="00275B26" w:rsidP="00275B26">
      <w:pPr>
        <w:widowControl/>
        <w:shd w:val="clear" w:color="auto" w:fill="ECECEC"/>
        <w:wordWrap w:val="0"/>
        <w:spacing w:line="245" w:lineRule="atLeast"/>
        <w:rPr>
          <w:rFonts w:ascii="宋体" w:eastAsia="宋体" w:hAnsi="宋体" w:cs="宋体" w:hint="eastAsia"/>
          <w:color w:val="505050"/>
          <w:kern w:val="0"/>
          <w:sz w:val="16"/>
          <w:szCs w:val="16"/>
        </w:rPr>
      </w:pPr>
      <w:r w:rsidRPr="00275B26">
        <w:rPr>
          <w:rFonts w:ascii="宋体" w:eastAsia="宋体" w:hAnsi="宋体" w:cs="宋体" w:hint="eastAsia"/>
          <w:color w:val="505050"/>
          <w:kern w:val="0"/>
          <w:sz w:val="16"/>
          <w:szCs w:val="16"/>
        </w:rPr>
        <w:t>    截至2013年9月30日，本信托计划信托财产净值共计人民币39,303,069.60元，信托单位净值为人民币0.7861元，累计收益率为 -21.39%。</w:t>
      </w:r>
    </w:p>
    <w:p w:rsidR="00275B26" w:rsidRPr="00275B26" w:rsidRDefault="00275B26" w:rsidP="00275B26">
      <w:pPr>
        <w:widowControl/>
        <w:shd w:val="clear" w:color="auto" w:fill="ECECEC"/>
        <w:wordWrap w:val="0"/>
        <w:spacing w:line="245" w:lineRule="atLeast"/>
        <w:rPr>
          <w:rFonts w:ascii="宋体" w:eastAsia="宋体" w:hAnsi="宋体" w:cs="宋体" w:hint="eastAsia"/>
          <w:color w:val="505050"/>
          <w:kern w:val="0"/>
          <w:sz w:val="16"/>
          <w:szCs w:val="16"/>
        </w:rPr>
      </w:pPr>
      <w:r w:rsidRPr="00275B26">
        <w:rPr>
          <w:rFonts w:ascii="宋体" w:eastAsia="宋体" w:hAnsi="宋体" w:cs="宋体" w:hint="eastAsia"/>
          <w:color w:val="505050"/>
          <w:kern w:val="0"/>
          <w:sz w:val="16"/>
          <w:szCs w:val="16"/>
        </w:rPr>
        <w:t>    报告期内，根据信托文件的规定共计提了3次信托费用，累计计提保管费人民币24,365.42元，固定信托报酬人民币 97,461.66元。（信托资金运用及收益情况见后附表）</w:t>
      </w:r>
    </w:p>
    <w:p w:rsidR="00275B26" w:rsidRPr="00275B26" w:rsidRDefault="00275B26" w:rsidP="00275B26">
      <w:pPr>
        <w:widowControl/>
        <w:shd w:val="clear" w:color="auto" w:fill="ECECEC"/>
        <w:wordWrap w:val="0"/>
        <w:spacing w:line="245" w:lineRule="atLeast"/>
        <w:rPr>
          <w:rFonts w:ascii="宋体" w:eastAsia="宋体" w:hAnsi="宋体" w:cs="宋体" w:hint="eastAsia"/>
          <w:color w:val="505050"/>
          <w:kern w:val="0"/>
          <w:sz w:val="16"/>
          <w:szCs w:val="16"/>
        </w:rPr>
      </w:pPr>
      <w:r w:rsidRPr="00275B26">
        <w:rPr>
          <w:rFonts w:ascii="宋体" w:eastAsia="宋体" w:hAnsi="宋体" w:cs="宋体" w:hint="eastAsia"/>
          <w:color w:val="505050"/>
          <w:kern w:val="0"/>
          <w:sz w:val="16"/>
          <w:szCs w:val="16"/>
        </w:rPr>
        <w:t>    二、日常管理情况</w:t>
      </w:r>
    </w:p>
    <w:p w:rsidR="00275B26" w:rsidRPr="00275B26" w:rsidRDefault="00275B26" w:rsidP="00275B26">
      <w:pPr>
        <w:widowControl/>
        <w:shd w:val="clear" w:color="auto" w:fill="ECECEC"/>
        <w:wordWrap w:val="0"/>
        <w:spacing w:line="245" w:lineRule="atLeast"/>
        <w:rPr>
          <w:rFonts w:ascii="宋体" w:eastAsia="宋体" w:hAnsi="宋体" w:cs="宋体" w:hint="eastAsia"/>
          <w:color w:val="505050"/>
          <w:kern w:val="0"/>
          <w:sz w:val="16"/>
          <w:szCs w:val="16"/>
        </w:rPr>
      </w:pPr>
      <w:r w:rsidRPr="00275B26">
        <w:rPr>
          <w:rFonts w:ascii="宋体" w:eastAsia="宋体" w:hAnsi="宋体" w:cs="宋体" w:hint="eastAsia"/>
          <w:color w:val="505050"/>
          <w:kern w:val="0"/>
          <w:sz w:val="16"/>
          <w:szCs w:val="16"/>
        </w:rPr>
        <w:t>    本信托计划属于证券投资类信托项目。该类信托计划在信托财产管理、运用和处分过程中，存在市场风险、流动性风险和经营周期风险等风险，因此在实际投资管理中，信托财产净值会因证券市场行情的波动而出现波动甚至负增长。</w:t>
      </w:r>
    </w:p>
    <w:p w:rsidR="00275B26" w:rsidRPr="00275B26" w:rsidRDefault="00275B26" w:rsidP="00275B26">
      <w:pPr>
        <w:widowControl/>
        <w:shd w:val="clear" w:color="auto" w:fill="ECECEC"/>
        <w:wordWrap w:val="0"/>
        <w:spacing w:line="245" w:lineRule="atLeast"/>
        <w:rPr>
          <w:rFonts w:ascii="宋体" w:eastAsia="宋体" w:hAnsi="宋体" w:cs="宋体" w:hint="eastAsia"/>
          <w:color w:val="505050"/>
          <w:kern w:val="0"/>
          <w:sz w:val="16"/>
          <w:szCs w:val="16"/>
        </w:rPr>
      </w:pPr>
      <w:r w:rsidRPr="00275B26">
        <w:rPr>
          <w:rFonts w:ascii="宋体" w:eastAsia="宋体" w:hAnsi="宋体" w:cs="宋体" w:hint="eastAsia"/>
          <w:color w:val="505050"/>
          <w:kern w:val="0"/>
          <w:sz w:val="16"/>
          <w:szCs w:val="16"/>
        </w:rPr>
        <w:t>    报告期内，我司作为受托人勤勉尽职，履行了诚实、信用、谨慎、有效管理的义务。信托经理恪尽职守，密切关注和分析证券市场走势，按照信托文件的规定严格履行自己的职责。信托财务部监督信托资金的使用，保证信托资金的正常划转，于每个估值日对信托财产净值和信托单位净值进行计算，并于每周第一个工作日与保管行核对上周最后一个交易日的信托单位净值并向受益人披露。法律合规部及风险控制部对信托经理及信托财务部尽职履行职责的情况进行监督，并对本信托计划的合规风险及操作风险进行持续分析判断。</w:t>
      </w:r>
    </w:p>
    <w:p w:rsidR="00275B26" w:rsidRPr="00275B26" w:rsidRDefault="00275B26" w:rsidP="00275B26">
      <w:pPr>
        <w:widowControl/>
        <w:shd w:val="clear" w:color="auto" w:fill="ECECEC"/>
        <w:wordWrap w:val="0"/>
        <w:spacing w:line="245" w:lineRule="atLeast"/>
        <w:rPr>
          <w:rFonts w:ascii="宋体" w:eastAsia="宋体" w:hAnsi="宋体" w:cs="宋体" w:hint="eastAsia"/>
          <w:color w:val="505050"/>
          <w:kern w:val="0"/>
          <w:sz w:val="16"/>
          <w:szCs w:val="16"/>
        </w:rPr>
      </w:pPr>
      <w:r w:rsidRPr="00275B26">
        <w:rPr>
          <w:rFonts w:ascii="宋体" w:eastAsia="宋体" w:hAnsi="宋体" w:cs="宋体" w:hint="eastAsia"/>
          <w:color w:val="505050"/>
          <w:kern w:val="0"/>
          <w:sz w:val="16"/>
          <w:szCs w:val="16"/>
        </w:rPr>
        <w:t>    报告期内，工商银行北京分行根据与我司签订的《国民常盛证券投资信托计划资金保管合同》履行保管职责，确认并执行我司的划款指令，并对信托财产交易记录和财产账目等进行核对，每周核对信托财产净值和信托单位净值。</w:t>
      </w:r>
    </w:p>
    <w:p w:rsidR="00275B26" w:rsidRPr="00275B26" w:rsidRDefault="00275B26" w:rsidP="00275B26">
      <w:pPr>
        <w:widowControl/>
        <w:shd w:val="clear" w:color="auto" w:fill="ECECEC"/>
        <w:wordWrap w:val="0"/>
        <w:spacing w:line="245" w:lineRule="atLeast"/>
        <w:rPr>
          <w:rFonts w:ascii="宋体" w:eastAsia="宋体" w:hAnsi="宋体" w:cs="宋体" w:hint="eastAsia"/>
          <w:color w:val="505050"/>
          <w:kern w:val="0"/>
          <w:sz w:val="16"/>
          <w:szCs w:val="16"/>
        </w:rPr>
      </w:pPr>
      <w:r w:rsidRPr="00275B26">
        <w:rPr>
          <w:rFonts w:ascii="宋体" w:eastAsia="宋体" w:hAnsi="宋体" w:cs="宋体" w:hint="eastAsia"/>
          <w:color w:val="505050"/>
          <w:kern w:val="0"/>
          <w:sz w:val="16"/>
          <w:szCs w:val="16"/>
        </w:rPr>
        <w:t>    报告期内，招商证券根据与工商银行北京分行及我司共同签订的《国民常盛证券投资信托计划证券经纪服务合同》，提供证券经纪服务，保证本信托计划项下交易的顺利进行，并按约定提供汇总对账单。</w:t>
      </w:r>
    </w:p>
    <w:p w:rsidR="00275B26" w:rsidRPr="00275B26" w:rsidRDefault="00275B26" w:rsidP="00275B26">
      <w:pPr>
        <w:widowControl/>
        <w:shd w:val="clear" w:color="auto" w:fill="ECECEC"/>
        <w:wordWrap w:val="0"/>
        <w:spacing w:line="245" w:lineRule="atLeast"/>
        <w:rPr>
          <w:rFonts w:ascii="宋体" w:eastAsia="宋体" w:hAnsi="宋体" w:cs="宋体" w:hint="eastAsia"/>
          <w:color w:val="505050"/>
          <w:kern w:val="0"/>
          <w:sz w:val="16"/>
          <w:szCs w:val="16"/>
        </w:rPr>
      </w:pPr>
      <w:r w:rsidRPr="00275B26">
        <w:rPr>
          <w:rFonts w:ascii="宋体" w:eastAsia="宋体" w:hAnsi="宋体" w:cs="宋体" w:hint="eastAsia"/>
          <w:color w:val="505050"/>
          <w:kern w:val="0"/>
          <w:sz w:val="16"/>
          <w:szCs w:val="16"/>
        </w:rPr>
        <w:t>    三、结论</w:t>
      </w:r>
    </w:p>
    <w:p w:rsidR="00275B26" w:rsidRPr="00275B26" w:rsidRDefault="00275B26" w:rsidP="00275B26">
      <w:pPr>
        <w:widowControl/>
        <w:shd w:val="clear" w:color="auto" w:fill="ECECEC"/>
        <w:wordWrap w:val="0"/>
        <w:spacing w:line="245" w:lineRule="atLeast"/>
        <w:rPr>
          <w:rFonts w:ascii="宋体" w:eastAsia="宋体" w:hAnsi="宋体" w:cs="宋体" w:hint="eastAsia"/>
          <w:color w:val="505050"/>
          <w:kern w:val="0"/>
          <w:sz w:val="16"/>
          <w:szCs w:val="16"/>
        </w:rPr>
      </w:pPr>
      <w:r w:rsidRPr="00275B26">
        <w:rPr>
          <w:rFonts w:ascii="宋体" w:eastAsia="宋体" w:hAnsi="宋体" w:cs="宋体" w:hint="eastAsia"/>
          <w:color w:val="505050"/>
          <w:kern w:val="0"/>
          <w:sz w:val="16"/>
          <w:szCs w:val="16"/>
        </w:rPr>
        <w:t>    报告期内，我司本着勤勉尽职的原则，尽职履行受托人的职责，本信托计划资金使用正常，未发生影响信托资金安全及受益人收益的情形，无信托财产涉及诉讼。</w:t>
      </w:r>
    </w:p>
    <w:p w:rsidR="00275B26" w:rsidRPr="00275B26" w:rsidRDefault="00275B26" w:rsidP="00275B26">
      <w:pPr>
        <w:widowControl/>
        <w:shd w:val="clear" w:color="auto" w:fill="ECECEC"/>
        <w:wordWrap w:val="0"/>
        <w:spacing w:line="245" w:lineRule="atLeast"/>
        <w:rPr>
          <w:rFonts w:ascii="宋体" w:eastAsia="宋体" w:hAnsi="宋体" w:cs="宋体" w:hint="eastAsia"/>
          <w:color w:val="505050"/>
          <w:kern w:val="0"/>
          <w:sz w:val="16"/>
          <w:szCs w:val="16"/>
        </w:rPr>
      </w:pPr>
      <w:r w:rsidRPr="00275B26">
        <w:rPr>
          <w:rFonts w:ascii="宋体" w:eastAsia="宋体" w:hAnsi="宋体" w:cs="宋体" w:hint="eastAsia"/>
          <w:color w:val="505050"/>
          <w:kern w:val="0"/>
          <w:sz w:val="16"/>
          <w:szCs w:val="16"/>
        </w:rPr>
        <w:t>    信托期间，我司将一如既往地恪尽职守，履行诚实、信用、谨慎的受托管理职责。</w:t>
      </w:r>
    </w:p>
    <w:p w:rsidR="00275B26" w:rsidRPr="00275B26" w:rsidRDefault="00275B26" w:rsidP="00275B26">
      <w:pPr>
        <w:widowControl/>
        <w:shd w:val="clear" w:color="auto" w:fill="ECECEC"/>
        <w:wordWrap w:val="0"/>
        <w:spacing w:line="245" w:lineRule="atLeast"/>
        <w:rPr>
          <w:rFonts w:ascii="宋体" w:eastAsia="宋体" w:hAnsi="宋体" w:cs="宋体" w:hint="eastAsia"/>
          <w:color w:val="505050"/>
          <w:kern w:val="0"/>
          <w:sz w:val="16"/>
          <w:szCs w:val="16"/>
        </w:rPr>
      </w:pPr>
      <w:r w:rsidRPr="00275B26">
        <w:rPr>
          <w:rFonts w:ascii="宋体" w:eastAsia="宋体" w:hAnsi="宋体" w:cs="宋体" w:hint="eastAsia"/>
          <w:color w:val="505050"/>
          <w:kern w:val="0"/>
          <w:sz w:val="16"/>
          <w:szCs w:val="16"/>
        </w:rPr>
        <w:t>    感谢您的关注与支持！</w:t>
      </w:r>
    </w:p>
    <w:p w:rsidR="00275B26" w:rsidRPr="00275B26" w:rsidRDefault="00275B26" w:rsidP="00275B26">
      <w:pPr>
        <w:widowControl/>
        <w:shd w:val="clear" w:color="auto" w:fill="ECECEC"/>
        <w:wordWrap w:val="0"/>
        <w:spacing w:line="245" w:lineRule="atLeast"/>
        <w:rPr>
          <w:rFonts w:ascii="宋体" w:eastAsia="宋体" w:hAnsi="宋体" w:cs="宋体" w:hint="eastAsia"/>
          <w:color w:val="505050"/>
          <w:kern w:val="0"/>
          <w:sz w:val="16"/>
          <w:szCs w:val="16"/>
        </w:rPr>
      </w:pPr>
      <w:r w:rsidRPr="00275B26">
        <w:rPr>
          <w:rFonts w:ascii="宋体" w:eastAsia="宋体" w:hAnsi="宋体" w:cs="宋体" w:hint="eastAsia"/>
          <w:color w:val="505050"/>
          <w:kern w:val="0"/>
          <w:sz w:val="16"/>
          <w:szCs w:val="16"/>
        </w:rPr>
        <w:t>    附表：国民常盛金2号信托资金运用及收益情况表</w:t>
      </w:r>
    </w:p>
    <w:p w:rsidR="00275B26" w:rsidRPr="00275B26" w:rsidRDefault="00275B26" w:rsidP="00275B26">
      <w:pPr>
        <w:widowControl/>
        <w:shd w:val="clear" w:color="auto" w:fill="ECECEC"/>
        <w:wordWrap w:val="0"/>
        <w:spacing w:line="245" w:lineRule="atLeast"/>
        <w:rPr>
          <w:rFonts w:ascii="宋体" w:eastAsia="宋体" w:hAnsi="宋体" w:cs="宋体" w:hint="eastAsia"/>
          <w:color w:val="505050"/>
          <w:kern w:val="0"/>
          <w:sz w:val="16"/>
          <w:szCs w:val="16"/>
        </w:rPr>
      </w:pPr>
      <w:r w:rsidRPr="00275B26">
        <w:rPr>
          <w:rFonts w:ascii="宋体" w:eastAsia="宋体" w:hAnsi="宋体" w:cs="宋体" w:hint="eastAsia"/>
          <w:color w:val="505050"/>
          <w:kern w:val="0"/>
          <w:sz w:val="16"/>
          <w:szCs w:val="16"/>
        </w:rPr>
        <w:t> </w:t>
      </w:r>
    </w:p>
    <w:p w:rsidR="00275B26" w:rsidRPr="00275B26" w:rsidRDefault="00275B26" w:rsidP="00275B26">
      <w:pPr>
        <w:widowControl/>
        <w:shd w:val="clear" w:color="auto" w:fill="ECECEC"/>
        <w:wordWrap w:val="0"/>
        <w:spacing w:line="245" w:lineRule="atLeast"/>
        <w:rPr>
          <w:rFonts w:ascii="宋体" w:eastAsia="宋体" w:hAnsi="宋体" w:cs="宋体" w:hint="eastAsia"/>
          <w:color w:val="505050"/>
          <w:kern w:val="0"/>
          <w:sz w:val="16"/>
          <w:szCs w:val="16"/>
        </w:rPr>
      </w:pPr>
      <w:r w:rsidRPr="00275B26">
        <w:rPr>
          <w:rFonts w:ascii="宋体" w:eastAsia="宋体" w:hAnsi="宋体" w:cs="宋体" w:hint="eastAsia"/>
          <w:color w:val="505050"/>
          <w:kern w:val="0"/>
          <w:sz w:val="16"/>
          <w:szCs w:val="16"/>
        </w:rPr>
        <w:t> </w:t>
      </w:r>
    </w:p>
    <w:p w:rsidR="00275B26" w:rsidRPr="00275B26" w:rsidRDefault="00275B26" w:rsidP="00275B26">
      <w:pPr>
        <w:widowControl/>
        <w:shd w:val="clear" w:color="auto" w:fill="ECECEC"/>
        <w:wordWrap w:val="0"/>
        <w:spacing w:line="245" w:lineRule="atLeast"/>
        <w:rPr>
          <w:rFonts w:ascii="宋体" w:eastAsia="宋体" w:hAnsi="宋体" w:cs="宋体" w:hint="eastAsia"/>
          <w:color w:val="505050"/>
          <w:kern w:val="0"/>
          <w:sz w:val="16"/>
          <w:szCs w:val="16"/>
        </w:rPr>
      </w:pPr>
      <w:r w:rsidRPr="00275B26">
        <w:rPr>
          <w:rFonts w:ascii="宋体" w:eastAsia="宋体" w:hAnsi="宋体" w:cs="宋体" w:hint="eastAsia"/>
          <w:color w:val="505050"/>
          <w:kern w:val="0"/>
          <w:sz w:val="16"/>
          <w:szCs w:val="16"/>
        </w:rPr>
        <w:t> </w:t>
      </w:r>
    </w:p>
    <w:p w:rsidR="00275B26" w:rsidRPr="00275B26" w:rsidRDefault="00275B26" w:rsidP="00275B26">
      <w:pPr>
        <w:widowControl/>
        <w:shd w:val="clear" w:color="auto" w:fill="ECECEC"/>
        <w:wordWrap w:val="0"/>
        <w:spacing w:line="245" w:lineRule="atLeast"/>
        <w:jc w:val="right"/>
        <w:rPr>
          <w:rFonts w:ascii="宋体" w:eastAsia="宋体" w:hAnsi="宋体" w:cs="宋体" w:hint="eastAsia"/>
          <w:color w:val="505050"/>
          <w:kern w:val="0"/>
          <w:sz w:val="16"/>
          <w:szCs w:val="16"/>
        </w:rPr>
      </w:pPr>
      <w:r w:rsidRPr="00275B26">
        <w:rPr>
          <w:rFonts w:ascii="宋体" w:eastAsia="宋体" w:hAnsi="宋体" w:cs="宋体" w:hint="eastAsia"/>
          <w:b/>
          <w:bCs/>
          <w:color w:val="505050"/>
          <w:kern w:val="0"/>
          <w:sz w:val="16"/>
        </w:rPr>
        <w:t>国民信托有限公司</w:t>
      </w:r>
    </w:p>
    <w:p w:rsidR="00275B26" w:rsidRPr="00275B26" w:rsidRDefault="00275B26" w:rsidP="00275B26">
      <w:pPr>
        <w:widowControl/>
        <w:shd w:val="clear" w:color="auto" w:fill="ECECEC"/>
        <w:wordWrap w:val="0"/>
        <w:spacing w:line="245" w:lineRule="atLeast"/>
        <w:jc w:val="right"/>
        <w:rPr>
          <w:rFonts w:ascii="宋体" w:eastAsia="宋体" w:hAnsi="宋体" w:cs="宋体" w:hint="eastAsia"/>
          <w:color w:val="505050"/>
          <w:kern w:val="0"/>
          <w:sz w:val="16"/>
          <w:szCs w:val="16"/>
        </w:rPr>
      </w:pPr>
      <w:r w:rsidRPr="00275B26">
        <w:rPr>
          <w:rFonts w:ascii="宋体" w:eastAsia="宋体" w:hAnsi="宋体" w:cs="宋体" w:hint="eastAsia"/>
          <w:b/>
          <w:bCs/>
          <w:color w:val="505050"/>
          <w:kern w:val="0"/>
          <w:sz w:val="16"/>
        </w:rPr>
        <w:t>二○一 三年十月十五日</w:t>
      </w:r>
    </w:p>
    <w:p w:rsidR="008E6C69" w:rsidRPr="00275B26" w:rsidRDefault="008E6C69"/>
    <w:sectPr w:rsidR="008E6C69" w:rsidRPr="00275B2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6C69" w:rsidRDefault="008E6C69" w:rsidP="00275B26">
      <w:r>
        <w:separator/>
      </w:r>
    </w:p>
  </w:endnote>
  <w:endnote w:type="continuationSeparator" w:id="1">
    <w:p w:rsidR="008E6C69" w:rsidRDefault="008E6C69" w:rsidP="00275B2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6C69" w:rsidRDefault="008E6C69" w:rsidP="00275B26">
      <w:r>
        <w:separator/>
      </w:r>
    </w:p>
  </w:footnote>
  <w:footnote w:type="continuationSeparator" w:id="1">
    <w:p w:rsidR="008E6C69" w:rsidRDefault="008E6C69" w:rsidP="00275B2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4BB6D82"/>
    <w:multiLevelType w:val="multilevel"/>
    <w:tmpl w:val="B6EC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75B26"/>
    <w:rsid w:val="00275B26"/>
    <w:rsid w:val="008E6C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75B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75B26"/>
    <w:rPr>
      <w:sz w:val="18"/>
      <w:szCs w:val="18"/>
    </w:rPr>
  </w:style>
  <w:style w:type="paragraph" w:styleId="a4">
    <w:name w:val="footer"/>
    <w:basedOn w:val="a"/>
    <w:link w:val="Char0"/>
    <w:uiPriority w:val="99"/>
    <w:semiHidden/>
    <w:unhideWhenUsed/>
    <w:rsid w:val="00275B2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75B26"/>
    <w:rPr>
      <w:sz w:val="18"/>
      <w:szCs w:val="18"/>
    </w:rPr>
  </w:style>
  <w:style w:type="character" w:customStyle="1" w:styleId="w46">
    <w:name w:val="w46"/>
    <w:basedOn w:val="a0"/>
    <w:rsid w:val="00275B26"/>
  </w:style>
  <w:style w:type="character" w:styleId="a5">
    <w:name w:val="Hyperlink"/>
    <w:basedOn w:val="a0"/>
    <w:uiPriority w:val="99"/>
    <w:semiHidden/>
    <w:unhideWhenUsed/>
    <w:rsid w:val="00275B26"/>
    <w:rPr>
      <w:color w:val="0000FF"/>
      <w:u w:val="single"/>
    </w:rPr>
  </w:style>
  <w:style w:type="character" w:customStyle="1" w:styleId="rt">
    <w:name w:val="rt"/>
    <w:basedOn w:val="a0"/>
    <w:rsid w:val="00275B26"/>
  </w:style>
  <w:style w:type="paragraph" w:styleId="a6">
    <w:name w:val="Normal (Web)"/>
    <w:basedOn w:val="a"/>
    <w:uiPriority w:val="99"/>
    <w:semiHidden/>
    <w:unhideWhenUsed/>
    <w:rsid w:val="00275B26"/>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275B26"/>
    <w:rPr>
      <w:b/>
      <w:bCs/>
    </w:rPr>
  </w:style>
</w:styles>
</file>

<file path=word/webSettings.xml><?xml version="1.0" encoding="utf-8"?>
<w:webSettings xmlns:r="http://schemas.openxmlformats.org/officeDocument/2006/relationships" xmlns:w="http://schemas.openxmlformats.org/wordprocessingml/2006/main">
  <w:divs>
    <w:div w:id="628364347">
      <w:bodyDiv w:val="1"/>
      <w:marLeft w:val="0"/>
      <w:marRight w:val="0"/>
      <w:marTop w:val="0"/>
      <w:marBottom w:val="0"/>
      <w:divBdr>
        <w:top w:val="none" w:sz="0" w:space="0" w:color="auto"/>
        <w:left w:val="none" w:sz="0" w:space="0" w:color="auto"/>
        <w:bottom w:val="none" w:sz="0" w:space="0" w:color="auto"/>
        <w:right w:val="none" w:sz="0" w:space="0" w:color="auto"/>
      </w:divBdr>
      <w:divsChild>
        <w:div w:id="1372531406">
          <w:marLeft w:val="0"/>
          <w:marRight w:val="0"/>
          <w:marTop w:val="136"/>
          <w:marBottom w:val="136"/>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avascrip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220</Words>
  <Characters>1259</Characters>
  <Application>Microsoft Office Word</Application>
  <DocSecurity>0</DocSecurity>
  <Lines>10</Lines>
  <Paragraphs>2</Paragraphs>
  <ScaleCrop>false</ScaleCrop>
  <Company/>
  <LinksUpToDate>false</LinksUpToDate>
  <CharactersWithSpaces>1477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2013-10-18T07:13:00Z</dcterms:created>
  <dcterms:modified xsi:type="dcterms:W3CDTF">2013-10-18T07:13:00Z</dcterms:modified>
</cp:coreProperties>
</file>