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05" w:type="dxa"/>
        <w:tblCellSpacing w:w="7" w:type="dxa"/>
        <w:shd w:val="clear" w:color="auto" w:fill="D6D6D6"/>
        <w:tblCellMar>
          <w:top w:w="15" w:type="dxa"/>
          <w:left w:w="15" w:type="dxa"/>
          <w:bottom w:w="15" w:type="dxa"/>
          <w:right w:w="15" w:type="dxa"/>
        </w:tblCellMar>
        <w:tblLook w:val="04A0"/>
      </w:tblPr>
      <w:tblGrid>
        <w:gridCol w:w="1959"/>
        <w:gridCol w:w="3292"/>
        <w:gridCol w:w="1951"/>
        <w:gridCol w:w="3403"/>
      </w:tblGrid>
      <w:tr w:rsidR="00330AB0" w:rsidRPr="00330AB0" w:rsidTr="00330AB0">
        <w:trPr>
          <w:trHeight w:val="420"/>
          <w:tblCellSpacing w:w="7" w:type="dxa"/>
        </w:trPr>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b/>
                <w:bCs/>
                <w:color w:val="000000"/>
                <w:kern w:val="0"/>
                <w:sz w:val="16"/>
              </w:rPr>
              <w:t>信托计划名称</w:t>
            </w:r>
          </w:p>
        </w:tc>
        <w:tc>
          <w:tcPr>
            <w:tcW w:w="8655" w:type="dxa"/>
            <w:gridSpan w:val="3"/>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哲灵扬亿·玉之谦（长安投资278号）证券投资集合资金信托计划</w:t>
            </w:r>
          </w:p>
        </w:tc>
      </w:tr>
      <w:tr w:rsidR="00330AB0" w:rsidRPr="00330AB0" w:rsidTr="00330AB0">
        <w:trPr>
          <w:trHeight w:val="420"/>
          <w:tblCellSpacing w:w="7" w:type="dxa"/>
        </w:trPr>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产品状态</w:t>
            </w:r>
          </w:p>
        </w:tc>
        <w:tc>
          <w:tcPr>
            <w:tcW w:w="3300" w:type="dxa"/>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运行中产品</w:t>
            </w:r>
          </w:p>
        </w:tc>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产品类型</w:t>
            </w:r>
          </w:p>
        </w:tc>
        <w:tc>
          <w:tcPr>
            <w:tcW w:w="3405" w:type="dxa"/>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管理型证券投资信托</w:t>
            </w:r>
          </w:p>
        </w:tc>
      </w:tr>
      <w:tr w:rsidR="00330AB0" w:rsidRPr="00330AB0" w:rsidTr="00330AB0">
        <w:trPr>
          <w:trHeight w:val="420"/>
          <w:tblCellSpacing w:w="7" w:type="dxa"/>
        </w:trPr>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发行规模</w:t>
            </w:r>
          </w:p>
        </w:tc>
        <w:tc>
          <w:tcPr>
            <w:tcW w:w="3300" w:type="dxa"/>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3000万元</w:t>
            </w:r>
          </w:p>
        </w:tc>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成立规模</w:t>
            </w:r>
          </w:p>
        </w:tc>
        <w:tc>
          <w:tcPr>
            <w:tcW w:w="3405" w:type="dxa"/>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3000万元</w:t>
            </w:r>
          </w:p>
        </w:tc>
      </w:tr>
      <w:tr w:rsidR="00330AB0" w:rsidRPr="00330AB0" w:rsidTr="00330AB0">
        <w:trPr>
          <w:trHeight w:val="420"/>
          <w:tblCellSpacing w:w="7" w:type="dxa"/>
        </w:trPr>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投资起点</w:t>
            </w:r>
          </w:p>
        </w:tc>
        <w:tc>
          <w:tcPr>
            <w:tcW w:w="3300" w:type="dxa"/>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100万元</w:t>
            </w:r>
          </w:p>
        </w:tc>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投资领域</w:t>
            </w:r>
          </w:p>
        </w:tc>
        <w:tc>
          <w:tcPr>
            <w:tcW w:w="3405" w:type="dxa"/>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股票、基金、证券</w:t>
            </w:r>
          </w:p>
        </w:tc>
      </w:tr>
      <w:tr w:rsidR="00330AB0" w:rsidRPr="00330AB0" w:rsidTr="00330AB0">
        <w:trPr>
          <w:trHeight w:val="420"/>
          <w:tblCellSpacing w:w="7" w:type="dxa"/>
        </w:trPr>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信托期限</w:t>
            </w:r>
          </w:p>
        </w:tc>
        <w:tc>
          <w:tcPr>
            <w:tcW w:w="3300" w:type="dxa"/>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60月</w:t>
            </w:r>
          </w:p>
        </w:tc>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发行地</w:t>
            </w:r>
          </w:p>
        </w:tc>
        <w:tc>
          <w:tcPr>
            <w:tcW w:w="3405" w:type="dxa"/>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西安</w:t>
            </w:r>
          </w:p>
        </w:tc>
      </w:tr>
      <w:tr w:rsidR="00330AB0" w:rsidRPr="00330AB0" w:rsidTr="00330AB0">
        <w:trPr>
          <w:trHeight w:val="420"/>
          <w:tblCellSpacing w:w="7" w:type="dxa"/>
        </w:trPr>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预约原则</w:t>
            </w:r>
          </w:p>
        </w:tc>
        <w:tc>
          <w:tcPr>
            <w:tcW w:w="8655" w:type="dxa"/>
            <w:gridSpan w:val="3"/>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时间优先，金额优先</w:t>
            </w:r>
          </w:p>
        </w:tc>
      </w:tr>
      <w:tr w:rsidR="00330AB0" w:rsidRPr="00330AB0" w:rsidTr="00330AB0">
        <w:trPr>
          <w:trHeight w:val="420"/>
          <w:tblCellSpacing w:w="7" w:type="dxa"/>
        </w:trPr>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投资收益率</w:t>
            </w:r>
          </w:p>
        </w:tc>
        <w:tc>
          <w:tcPr>
            <w:tcW w:w="8655" w:type="dxa"/>
            <w:gridSpan w:val="3"/>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浮动收益</w:t>
            </w:r>
          </w:p>
        </w:tc>
      </w:tr>
      <w:tr w:rsidR="00330AB0" w:rsidRPr="00330AB0" w:rsidTr="00330AB0">
        <w:trPr>
          <w:trHeight w:val="420"/>
          <w:tblCellSpacing w:w="7" w:type="dxa"/>
        </w:trPr>
        <w:tc>
          <w:tcPr>
            <w:tcW w:w="1950" w:type="dxa"/>
            <w:shd w:val="clear" w:color="auto" w:fill="F8F8F8"/>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r w:rsidRPr="00330AB0">
              <w:rPr>
                <w:rFonts w:ascii="微软雅黑" w:eastAsia="微软雅黑" w:hAnsi="微软雅黑" w:cs="宋体" w:hint="eastAsia"/>
                <w:b/>
                <w:bCs/>
                <w:color w:val="000000"/>
                <w:kern w:val="0"/>
                <w:sz w:val="16"/>
              </w:rPr>
              <w:t>产品介绍</w:t>
            </w:r>
          </w:p>
        </w:tc>
        <w:tc>
          <w:tcPr>
            <w:tcW w:w="8655" w:type="dxa"/>
            <w:gridSpan w:val="3"/>
            <w:shd w:val="clear" w:color="auto" w:fill="FFFFFF"/>
            <w:vAlign w:val="center"/>
            <w:hideMark/>
          </w:tcPr>
          <w:p w:rsidR="00330AB0" w:rsidRPr="00330AB0" w:rsidRDefault="00330AB0" w:rsidP="00330AB0">
            <w:pPr>
              <w:widowControl/>
              <w:spacing w:before="340" w:after="204"/>
              <w:jc w:val="left"/>
              <w:rPr>
                <w:rFonts w:ascii="微软雅黑" w:eastAsia="微软雅黑" w:hAnsi="微软雅黑" w:cs="宋体"/>
                <w:color w:val="000000"/>
                <w:kern w:val="0"/>
                <w:sz w:val="16"/>
                <w:szCs w:val="16"/>
              </w:rPr>
            </w:pPr>
            <w:r w:rsidRPr="00330AB0">
              <w:rPr>
                <w:rFonts w:ascii="微软雅黑" w:eastAsia="微软雅黑" w:hAnsi="微软雅黑" w:cs="宋体" w:hint="eastAsia"/>
                <w:color w:val="000000"/>
                <w:kern w:val="0"/>
                <w:sz w:val="16"/>
                <w:szCs w:val="16"/>
              </w:rPr>
              <w:t>  </w:t>
            </w:r>
          </w:p>
          <w:p w:rsidR="00330AB0" w:rsidRPr="00330AB0" w:rsidRDefault="00330AB0" w:rsidP="00330AB0">
            <w:pPr>
              <w:widowControl/>
              <w:jc w:val="left"/>
              <w:rPr>
                <w:rFonts w:ascii="微软雅黑" w:eastAsia="微软雅黑" w:hAnsi="微软雅黑" w:cs="宋体"/>
                <w:color w:val="000000"/>
                <w:kern w:val="0"/>
                <w:sz w:val="16"/>
                <w:szCs w:val="16"/>
              </w:rPr>
            </w:pPr>
            <w:r w:rsidRPr="00330AB0">
              <w:rPr>
                <w:rFonts w:ascii="宋体" w:eastAsia="宋体" w:hAnsi="宋体" w:cs="宋体" w:hint="eastAsia"/>
                <w:color w:val="000000"/>
                <w:kern w:val="0"/>
                <w:sz w:val="24"/>
                <w:szCs w:val="24"/>
              </w:rPr>
              <w:t>投资范围：国内证券交易所挂牌交易的股票（含A股、中小板、创业板及其他经中国证监会核准上市的股票）、债券（含国债、企业债、公司债及资产支持证券、债券型基金、可转换债券（含分离交易可转债））、逆回购、封闭式基金、开放式基金、货币型基金、ETF、LOF、大额存单，银行存款及中国证券业监督管理委员会许可发行的基金可以投资的其他投资品种以及经受托人同意的其他投资品种。</w:t>
            </w:r>
            <w:r w:rsidRPr="00330AB0">
              <w:rPr>
                <w:rFonts w:ascii="微软雅黑" w:eastAsia="微软雅黑" w:hAnsi="微软雅黑" w:cs="宋体" w:hint="eastAsia"/>
                <w:color w:val="000000"/>
                <w:kern w:val="0"/>
                <w:sz w:val="16"/>
                <w:szCs w:val="16"/>
              </w:rPr>
              <w:br/>
            </w:r>
            <w:r w:rsidRPr="00330AB0">
              <w:rPr>
                <w:rFonts w:ascii="宋体" w:eastAsia="宋体" w:hAnsi="宋体" w:cs="宋体" w:hint="eastAsia"/>
                <w:color w:val="000000"/>
                <w:kern w:val="0"/>
                <w:sz w:val="24"/>
                <w:szCs w:val="24"/>
              </w:rPr>
              <w:t>投资限制：</w:t>
            </w:r>
            <w:r w:rsidRPr="00330AB0">
              <w:rPr>
                <w:rFonts w:ascii="宋体" w:eastAsia="宋体" w:hAnsi="宋体" w:cs="宋体" w:hint="eastAsia"/>
                <w:color w:val="000000"/>
                <w:kern w:val="0"/>
                <w:sz w:val="24"/>
                <w:szCs w:val="24"/>
              </w:rPr>
              <w:br/>
              <w:t>1.投资于一家上市公司的股票，按成本计算原则上在买入时不得超过前一个交易日信托财产净值的30%；</w:t>
            </w:r>
            <w:r w:rsidRPr="00330AB0">
              <w:rPr>
                <w:rFonts w:ascii="宋体" w:eastAsia="宋体" w:hAnsi="宋体" w:cs="宋体" w:hint="eastAsia"/>
                <w:color w:val="000000"/>
                <w:kern w:val="0"/>
                <w:sz w:val="24"/>
                <w:szCs w:val="24"/>
              </w:rPr>
              <w:br/>
              <w:t>2. 禁止购买s、sst、s*st、st、*st类股票，禁止购买权证；</w:t>
            </w:r>
            <w:r w:rsidRPr="00330AB0">
              <w:rPr>
                <w:rFonts w:ascii="宋体" w:eastAsia="宋体" w:hAnsi="宋体" w:cs="宋体" w:hint="eastAsia"/>
                <w:color w:val="000000"/>
                <w:kern w:val="0"/>
                <w:sz w:val="24"/>
                <w:szCs w:val="24"/>
              </w:rPr>
              <w:br/>
              <w:t>3.持有一家上市公司的股票数量最高不得超过该上市公司总股本的5%；不超过该上市公司流通股本的10%； 也不得超过证券账户总资产的20%（以买入成本计算）。</w:t>
            </w:r>
            <w:r w:rsidRPr="00330AB0">
              <w:rPr>
                <w:rFonts w:ascii="宋体" w:eastAsia="宋体" w:hAnsi="宋体" w:cs="宋体" w:hint="eastAsia"/>
                <w:color w:val="000000"/>
                <w:kern w:val="0"/>
                <w:sz w:val="24"/>
                <w:szCs w:val="24"/>
              </w:rPr>
              <w:br/>
              <w:t>4.不得投资于与投资顾问或委托人代表或受托人具有关联关系的上市公司发行的证券品种；</w:t>
            </w:r>
            <w:r w:rsidRPr="00330AB0">
              <w:rPr>
                <w:rFonts w:ascii="宋体" w:eastAsia="宋体" w:hAnsi="宋体" w:cs="宋体" w:hint="eastAsia"/>
                <w:color w:val="000000"/>
                <w:kern w:val="0"/>
                <w:sz w:val="24"/>
                <w:szCs w:val="24"/>
              </w:rPr>
              <w:br/>
              <w:t>5.不得投资退市整理股票，如果被动持有需在三个交易日内减持完毕；</w:t>
            </w:r>
            <w:r w:rsidRPr="00330AB0">
              <w:rPr>
                <w:rFonts w:ascii="宋体" w:eastAsia="宋体" w:hAnsi="宋体" w:cs="宋体" w:hint="eastAsia"/>
                <w:color w:val="000000"/>
                <w:kern w:val="0"/>
                <w:sz w:val="24"/>
                <w:szCs w:val="24"/>
              </w:rPr>
              <w:br/>
              <w:t>6.投资于单一债券的数量不得超过该债券最新公布规模的10％</w:t>
            </w:r>
            <w:r w:rsidRPr="00330AB0">
              <w:rPr>
                <w:rFonts w:ascii="宋体" w:eastAsia="宋体" w:hAnsi="宋体" w:cs="宋体" w:hint="eastAsia"/>
                <w:color w:val="000000"/>
                <w:kern w:val="0"/>
                <w:sz w:val="24"/>
                <w:szCs w:val="24"/>
              </w:rPr>
              <w:br/>
              <w:t>7.投资于单一债券的投资额不得超过证券账户总资产的20%。（仅以买入时成本占证券账户总资产计算，持有期波幅不做限制，申购新发行的债券除外）。</w:t>
            </w:r>
            <w:r w:rsidRPr="00330AB0">
              <w:rPr>
                <w:rFonts w:ascii="宋体" w:eastAsia="宋体" w:hAnsi="宋体" w:cs="宋体" w:hint="eastAsia"/>
                <w:color w:val="000000"/>
                <w:kern w:val="0"/>
                <w:sz w:val="24"/>
                <w:szCs w:val="24"/>
              </w:rPr>
              <w:br/>
              <w:t>8.参与单一债券首发的认购数量不得超过该债券本次发行总量的20%。</w:t>
            </w:r>
            <w:r w:rsidRPr="00330AB0">
              <w:rPr>
                <w:rFonts w:ascii="宋体" w:eastAsia="宋体" w:hAnsi="宋体" w:cs="宋体" w:hint="eastAsia"/>
                <w:color w:val="000000"/>
                <w:kern w:val="0"/>
                <w:sz w:val="24"/>
                <w:szCs w:val="24"/>
              </w:rPr>
              <w:br/>
              <w:t>9.不得投资于中小企业私募债。</w:t>
            </w:r>
            <w:r w:rsidRPr="00330AB0">
              <w:rPr>
                <w:rFonts w:ascii="宋体" w:eastAsia="宋体" w:hAnsi="宋体" w:cs="宋体" w:hint="eastAsia"/>
                <w:color w:val="000000"/>
                <w:kern w:val="0"/>
                <w:sz w:val="24"/>
                <w:szCs w:val="24"/>
              </w:rPr>
              <w:br/>
              <w:t>10.购买单只基金（不含ETF及LOF基金）金额不得超过证券账户总资产的15%，且其持有的份额不得超过该基金总发行额的10%。ETF和LOF基金投资额不得超过证券账户总资产的50%。（仅以买入时成本占证券账户总资产计算，持有期波幅不做限制）</w:t>
            </w:r>
            <w:r w:rsidRPr="00330AB0">
              <w:rPr>
                <w:rFonts w:ascii="宋体" w:eastAsia="宋体" w:hAnsi="宋体" w:cs="宋体" w:hint="eastAsia"/>
                <w:color w:val="000000"/>
                <w:kern w:val="0"/>
                <w:sz w:val="24"/>
                <w:szCs w:val="24"/>
              </w:rPr>
              <w:br/>
              <w:t>11.不得进行融资融券交易、正回购交易。信托财产不得运用于可能承担无限责任的投资。</w:t>
            </w:r>
            <w:r w:rsidRPr="00330AB0">
              <w:rPr>
                <w:rFonts w:ascii="宋体" w:eastAsia="宋体" w:hAnsi="宋体" w:cs="宋体" w:hint="eastAsia"/>
                <w:color w:val="000000"/>
                <w:kern w:val="0"/>
                <w:sz w:val="24"/>
                <w:szCs w:val="24"/>
              </w:rPr>
              <w:br/>
              <w:t>12.本信托计划期限届满（含提前终止）前3个月不得投资于任何可转换公司债券。</w:t>
            </w:r>
            <w:r w:rsidRPr="00330AB0">
              <w:rPr>
                <w:rFonts w:ascii="宋体" w:eastAsia="宋体" w:hAnsi="宋体" w:cs="宋体" w:hint="eastAsia"/>
                <w:color w:val="000000"/>
                <w:kern w:val="0"/>
                <w:sz w:val="24"/>
                <w:szCs w:val="24"/>
              </w:rPr>
              <w:br/>
              <w:t>13.禁止投资到期日或可流通变现日在信托计划终止日前一日（T-1）之后的各投资品种。</w:t>
            </w:r>
            <w:r w:rsidRPr="00330AB0">
              <w:rPr>
                <w:rFonts w:ascii="宋体" w:eastAsia="宋体" w:hAnsi="宋体" w:cs="宋体" w:hint="eastAsia"/>
                <w:color w:val="000000"/>
                <w:kern w:val="0"/>
                <w:sz w:val="24"/>
                <w:szCs w:val="24"/>
              </w:rPr>
              <w:br/>
              <w:t>14.同一投资顾问或特定受益人在受托人开展的多个信托计划之间禁止对敲。</w:t>
            </w:r>
            <w:r w:rsidRPr="00330AB0">
              <w:rPr>
                <w:rFonts w:ascii="宋体" w:eastAsia="宋体" w:hAnsi="宋体" w:cs="宋体" w:hint="eastAsia"/>
                <w:color w:val="000000"/>
                <w:kern w:val="0"/>
                <w:sz w:val="24"/>
                <w:szCs w:val="24"/>
              </w:rPr>
              <w:br/>
              <w:t>15.因证券市场波动、上市公司合并、信托计划规模变动等因素致使信托计划投资不符合本计划约定的投资限制的，受托人应当在10个交易日内调整完毕，遇股票停牌等限制流通的情况，调整时间顺延。</w:t>
            </w:r>
            <w:r w:rsidRPr="00330AB0">
              <w:rPr>
                <w:rFonts w:ascii="宋体" w:eastAsia="宋体" w:hAnsi="宋体" w:cs="宋体" w:hint="eastAsia"/>
                <w:color w:val="000000"/>
                <w:kern w:val="0"/>
                <w:sz w:val="24"/>
                <w:szCs w:val="24"/>
              </w:rPr>
              <w:br/>
              <w:t>16. 信托终止前5个工作日，受托人要求信托计划持有的证券资产必须全部变现。</w:t>
            </w:r>
            <w:r w:rsidRPr="00330AB0">
              <w:rPr>
                <w:rFonts w:ascii="宋体" w:eastAsia="宋体" w:hAnsi="宋体" w:cs="宋体" w:hint="eastAsia"/>
                <w:color w:val="000000"/>
                <w:kern w:val="0"/>
                <w:sz w:val="24"/>
                <w:szCs w:val="24"/>
              </w:rPr>
              <w:br/>
              <w:t>17.信托期间有新的政策法律对上述限制做出不同规定的，上述限制根据规定做相应调整。</w:t>
            </w:r>
          </w:p>
        </w:tc>
      </w:tr>
    </w:tbl>
    <w:p w:rsidR="00D165A8" w:rsidRPr="00330AB0" w:rsidRDefault="00D165A8"/>
    <w:sectPr w:rsidR="00D165A8" w:rsidRPr="00330A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65A8" w:rsidRDefault="00D165A8" w:rsidP="00330AB0">
      <w:r>
        <w:separator/>
      </w:r>
    </w:p>
  </w:endnote>
  <w:endnote w:type="continuationSeparator" w:id="1">
    <w:p w:rsidR="00D165A8" w:rsidRDefault="00D165A8" w:rsidP="00330A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65A8" w:rsidRDefault="00D165A8" w:rsidP="00330AB0">
      <w:r>
        <w:separator/>
      </w:r>
    </w:p>
  </w:footnote>
  <w:footnote w:type="continuationSeparator" w:id="1">
    <w:p w:rsidR="00D165A8" w:rsidRDefault="00D165A8" w:rsidP="00330A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0AB0"/>
    <w:rsid w:val="00330AB0"/>
    <w:rsid w:val="00D165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30A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30AB0"/>
    <w:rPr>
      <w:sz w:val="18"/>
      <w:szCs w:val="18"/>
    </w:rPr>
  </w:style>
  <w:style w:type="paragraph" w:styleId="a4">
    <w:name w:val="footer"/>
    <w:basedOn w:val="a"/>
    <w:link w:val="Char0"/>
    <w:uiPriority w:val="99"/>
    <w:semiHidden/>
    <w:unhideWhenUsed/>
    <w:rsid w:val="00330A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30AB0"/>
    <w:rPr>
      <w:sz w:val="18"/>
      <w:szCs w:val="18"/>
    </w:rPr>
  </w:style>
  <w:style w:type="character" w:styleId="a5">
    <w:name w:val="Strong"/>
    <w:basedOn w:val="a0"/>
    <w:uiPriority w:val="22"/>
    <w:qFormat/>
    <w:rsid w:val="00330AB0"/>
    <w:rPr>
      <w:b/>
      <w:bCs/>
    </w:rPr>
  </w:style>
  <w:style w:type="paragraph" w:styleId="a6">
    <w:name w:val="Normal (Web)"/>
    <w:basedOn w:val="a"/>
    <w:uiPriority w:val="99"/>
    <w:unhideWhenUsed/>
    <w:rsid w:val="00330AB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1652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185</Words>
  <Characters>1061</Characters>
  <Application>Microsoft Office Word</Application>
  <DocSecurity>0</DocSecurity>
  <Lines>8</Lines>
  <Paragraphs>2</Paragraphs>
  <ScaleCrop>false</ScaleCrop>
  <Company/>
  <LinksUpToDate>false</LinksUpToDate>
  <CharactersWithSpaces>1244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2013-12-26T23:41:00Z</dcterms:created>
  <dcterms:modified xsi:type="dcterms:W3CDTF">2013-12-26T23:41:00Z</dcterms:modified>
</cp:coreProperties>
</file>