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A13" w:rsidRPr="00460A13" w:rsidRDefault="00460A13" w:rsidP="00460A13">
      <w:pPr>
        <w:widowControl/>
        <w:shd w:val="clear" w:color="auto" w:fill="FFFFFF"/>
        <w:jc w:val="center"/>
        <w:rPr>
          <w:rFonts w:ascii="微软雅黑" w:eastAsia="微软雅黑" w:hAnsi="微软雅黑" w:cs="宋体"/>
          <w:color w:val="988036"/>
          <w:kern w:val="0"/>
          <w:sz w:val="33"/>
          <w:szCs w:val="33"/>
        </w:rPr>
      </w:pPr>
      <w:r w:rsidRPr="00460A13">
        <w:rPr>
          <w:rFonts w:ascii="微软雅黑" w:eastAsia="微软雅黑" w:hAnsi="微软雅黑" w:cs="宋体" w:hint="eastAsia"/>
          <w:color w:val="988036"/>
          <w:kern w:val="0"/>
          <w:sz w:val="33"/>
          <w:szCs w:val="33"/>
        </w:rPr>
        <w:t>粤财信托·德汇成长1期证券投资集合资金信托计划2013年第4季度管理报告</w:t>
      </w:r>
    </w:p>
    <w:p w:rsidR="00460A13" w:rsidRPr="00460A13" w:rsidRDefault="00460A13" w:rsidP="00460A13">
      <w:pPr>
        <w:widowControl/>
        <w:shd w:val="clear" w:color="auto" w:fill="EEEEEE"/>
        <w:spacing w:line="14"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16"/>
          <w:szCs w:val="16"/>
        </w:rPr>
        <w:t> </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b/>
          <w:bCs/>
          <w:color w:val="333333"/>
          <w:kern w:val="0"/>
          <w:sz w:val="25"/>
        </w:rPr>
        <w:t>一、重要提示</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本信托计划的保管人为中国工商银行股份有限公司广东省分行营业部，保管人已复核了本报告中的估值日净值等内容，保证复核内容不存在虚假记载、误导性陈述或者重大遗漏。</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受托人承诺以诚实信用、勤勉尽责的原则管理和运用信托资产，但不保证信托财产一定盈利。</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本信托计划的过往业绩并不代表其未来表现。证券投资有风险，投资者在做出投资决策前应仔细阅读本信托计划合同及说明书。</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本报告期为2013年10月1日起至2013年12月31日止。</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b/>
          <w:bCs/>
          <w:color w:val="333333"/>
          <w:kern w:val="0"/>
          <w:sz w:val="25"/>
        </w:rPr>
        <w:t>二、信托项目概况</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1、项目名称：粤财信托·德汇成长1期证券投资集合资金信托计划；</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2、信托期限：10年；</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3、投资范围：沪深交易所A股股票，证券投资基金，债券，银行存款及法律法规允许投资的其他金融工具。</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4、估值日/开放日：每月的20日；</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5、受托人：广东粤财信托有限公司；</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6、保管人：中国工商银行股份有限公司；</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7、投资顾问：广东德汇投资管理有限公司。</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b/>
          <w:bCs/>
          <w:color w:val="333333"/>
          <w:kern w:val="0"/>
          <w:sz w:val="25"/>
        </w:rPr>
        <w:t>三、投资状况</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b/>
          <w:bCs/>
          <w:color w:val="333333"/>
          <w:kern w:val="0"/>
          <w:sz w:val="22"/>
        </w:rPr>
        <w:t>（一）投资大类资产配置分布</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截至2013年12月31日，本信托计划总份额为30,628,642.46份。信托计划总资产中99.858%的资金投向于股票。投资大类分布如表1。</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w:t>
      </w:r>
      <w:r w:rsidRPr="00460A13">
        <w:rPr>
          <w:rFonts w:ascii="微软雅黑" w:eastAsia="微软雅黑" w:hAnsi="微软雅黑" w:cs="宋体" w:hint="eastAsia"/>
          <w:color w:val="333333"/>
          <w:kern w:val="0"/>
          <w:sz w:val="16"/>
          <w:szCs w:val="16"/>
        </w:rPr>
        <w:t>               </w:t>
      </w:r>
    </w:p>
    <w:tbl>
      <w:tblPr>
        <w:tblW w:w="8370" w:type="dxa"/>
        <w:jc w:val="center"/>
        <w:tblCellMar>
          <w:left w:w="0" w:type="dxa"/>
          <w:right w:w="0" w:type="dxa"/>
        </w:tblCellMar>
        <w:tblLook w:val="04A0"/>
      </w:tblPr>
      <w:tblGrid>
        <w:gridCol w:w="2280"/>
        <w:gridCol w:w="6090"/>
      </w:tblGrid>
      <w:tr w:rsidR="00460A13" w:rsidRPr="00460A13" w:rsidTr="00460A13">
        <w:trPr>
          <w:trHeight w:val="675"/>
          <w:jc w:val="center"/>
        </w:trPr>
        <w:tc>
          <w:tcPr>
            <w:tcW w:w="2280" w:type="dxa"/>
            <w:tcBorders>
              <w:top w:val="single" w:sz="6" w:space="0" w:color="auto"/>
              <w:left w:val="single" w:sz="6" w:space="0" w:color="auto"/>
              <w:bottom w:val="single" w:sz="6" w:space="0" w:color="auto"/>
              <w:right w:val="single" w:sz="6" w:space="0" w:color="auto"/>
            </w:tcBorders>
            <w:tcMar>
              <w:top w:w="0" w:type="dxa"/>
              <w:left w:w="95" w:type="dxa"/>
              <w:bottom w:w="0" w:type="dxa"/>
              <w:right w:w="95" w:type="dxa"/>
            </w:tcMar>
            <w:vAlign w:val="center"/>
            <w:hideMark/>
          </w:tcPr>
          <w:p w:rsidR="00460A13" w:rsidRPr="00460A13" w:rsidRDefault="00460A13" w:rsidP="00460A13">
            <w:pPr>
              <w:widowControl/>
              <w:jc w:val="left"/>
              <w:rPr>
                <w:rFonts w:ascii="微软雅黑" w:eastAsia="微软雅黑" w:hAnsi="微软雅黑" w:cs="宋体" w:hint="eastAsia"/>
                <w:kern w:val="0"/>
                <w:sz w:val="16"/>
                <w:szCs w:val="16"/>
              </w:rPr>
            </w:pPr>
            <w:r w:rsidRPr="00460A13">
              <w:rPr>
                <w:rFonts w:ascii="微软雅黑" w:eastAsia="微软雅黑" w:hAnsi="微软雅黑" w:cs="宋体" w:hint="eastAsia"/>
                <w:kern w:val="0"/>
                <w:sz w:val="22"/>
              </w:rPr>
              <w:t> </w:t>
            </w:r>
          </w:p>
          <w:p w:rsidR="00460A13" w:rsidRPr="00460A13" w:rsidRDefault="00460A13" w:rsidP="00460A13">
            <w:pPr>
              <w:widowControl/>
              <w:jc w:val="left"/>
              <w:rPr>
                <w:rFonts w:ascii="微软雅黑" w:eastAsia="微软雅黑" w:hAnsi="微软雅黑" w:cs="宋体" w:hint="eastAsia"/>
                <w:kern w:val="0"/>
                <w:sz w:val="16"/>
                <w:szCs w:val="16"/>
              </w:rPr>
            </w:pPr>
            <w:r w:rsidRPr="00460A13">
              <w:rPr>
                <w:rFonts w:ascii="微软雅黑" w:eastAsia="微软雅黑" w:hAnsi="微软雅黑" w:cs="宋体" w:hint="eastAsia"/>
                <w:kern w:val="0"/>
                <w:sz w:val="22"/>
              </w:rPr>
              <w:t>资产名称</w:t>
            </w:r>
          </w:p>
          <w:p w:rsidR="00460A13" w:rsidRPr="00460A13" w:rsidRDefault="00460A13" w:rsidP="00460A13">
            <w:pPr>
              <w:widowControl/>
              <w:jc w:val="left"/>
              <w:rPr>
                <w:rFonts w:ascii="微软雅黑" w:eastAsia="微软雅黑" w:hAnsi="微软雅黑" w:cs="宋体"/>
                <w:kern w:val="0"/>
                <w:sz w:val="16"/>
                <w:szCs w:val="16"/>
              </w:rPr>
            </w:pPr>
            <w:r w:rsidRPr="00460A13">
              <w:rPr>
                <w:rFonts w:ascii="微软雅黑" w:eastAsia="微软雅黑" w:hAnsi="微软雅黑" w:cs="宋体" w:hint="eastAsia"/>
                <w:kern w:val="0"/>
                <w:sz w:val="22"/>
              </w:rPr>
              <w:t> </w:t>
            </w:r>
          </w:p>
        </w:tc>
        <w:tc>
          <w:tcPr>
            <w:tcW w:w="6090" w:type="dxa"/>
            <w:tcBorders>
              <w:top w:val="nil"/>
              <w:left w:val="nil"/>
              <w:bottom w:val="nil"/>
              <w:right w:val="nil"/>
            </w:tcBorders>
            <w:tcMar>
              <w:top w:w="0" w:type="dxa"/>
              <w:left w:w="95" w:type="dxa"/>
              <w:bottom w:w="0" w:type="dxa"/>
              <w:right w:w="95" w:type="dxa"/>
            </w:tcMar>
            <w:vAlign w:val="center"/>
            <w:hideMark/>
          </w:tcPr>
          <w:p w:rsidR="00460A13" w:rsidRPr="00460A13" w:rsidRDefault="00460A13" w:rsidP="00460A13">
            <w:pPr>
              <w:widowControl/>
              <w:jc w:val="left"/>
              <w:rPr>
                <w:rFonts w:ascii="微软雅黑" w:eastAsia="微软雅黑" w:hAnsi="微软雅黑" w:cs="宋体"/>
                <w:kern w:val="0"/>
                <w:sz w:val="16"/>
                <w:szCs w:val="16"/>
              </w:rPr>
            </w:pPr>
            <w:r w:rsidRPr="00460A13">
              <w:rPr>
                <w:rFonts w:ascii="微软雅黑" w:eastAsia="微软雅黑" w:hAnsi="微软雅黑" w:cs="宋体" w:hint="eastAsia"/>
                <w:kern w:val="0"/>
                <w:sz w:val="22"/>
              </w:rPr>
              <w:t> </w:t>
            </w:r>
          </w:p>
          <w:p w:rsidR="00460A13" w:rsidRPr="00460A13" w:rsidRDefault="00460A13" w:rsidP="00460A13">
            <w:pPr>
              <w:widowControl/>
              <w:jc w:val="left"/>
              <w:rPr>
                <w:rFonts w:ascii="微软雅黑" w:eastAsia="微软雅黑" w:hAnsi="微软雅黑" w:cs="宋体" w:hint="eastAsia"/>
                <w:kern w:val="0"/>
                <w:sz w:val="16"/>
                <w:szCs w:val="16"/>
              </w:rPr>
            </w:pPr>
            <w:r w:rsidRPr="00460A13">
              <w:rPr>
                <w:rFonts w:ascii="微软雅黑" w:eastAsia="微软雅黑" w:hAnsi="微软雅黑" w:cs="宋体" w:hint="eastAsia"/>
                <w:kern w:val="0"/>
                <w:sz w:val="22"/>
              </w:rPr>
              <w:t>占总资产比例</w:t>
            </w:r>
          </w:p>
          <w:p w:rsidR="00460A13" w:rsidRPr="00460A13" w:rsidRDefault="00460A13" w:rsidP="00460A13">
            <w:pPr>
              <w:widowControl/>
              <w:jc w:val="left"/>
              <w:rPr>
                <w:rFonts w:ascii="微软雅黑" w:eastAsia="微软雅黑" w:hAnsi="微软雅黑" w:cs="宋体"/>
                <w:kern w:val="0"/>
                <w:sz w:val="16"/>
                <w:szCs w:val="16"/>
              </w:rPr>
            </w:pPr>
            <w:r w:rsidRPr="00460A13">
              <w:rPr>
                <w:rFonts w:ascii="微软雅黑" w:eastAsia="微软雅黑" w:hAnsi="微软雅黑" w:cs="宋体" w:hint="eastAsia"/>
                <w:kern w:val="0"/>
                <w:sz w:val="22"/>
              </w:rPr>
              <w:t> </w:t>
            </w:r>
          </w:p>
        </w:tc>
      </w:tr>
      <w:tr w:rsidR="00460A13" w:rsidRPr="00460A13" w:rsidTr="00460A13">
        <w:trPr>
          <w:trHeight w:val="540"/>
          <w:jc w:val="center"/>
        </w:trPr>
        <w:tc>
          <w:tcPr>
            <w:tcW w:w="2280" w:type="dxa"/>
            <w:tcBorders>
              <w:top w:val="nil"/>
              <w:left w:val="nil"/>
              <w:bottom w:val="nil"/>
              <w:right w:val="nil"/>
            </w:tcBorders>
            <w:tcMar>
              <w:top w:w="0" w:type="dxa"/>
              <w:left w:w="95" w:type="dxa"/>
              <w:bottom w:w="0" w:type="dxa"/>
              <w:right w:w="95" w:type="dxa"/>
            </w:tcMar>
            <w:vAlign w:val="center"/>
            <w:hideMark/>
          </w:tcPr>
          <w:p w:rsidR="00460A13" w:rsidRPr="00460A13" w:rsidRDefault="00460A13" w:rsidP="00460A13">
            <w:pPr>
              <w:widowControl/>
              <w:jc w:val="left"/>
              <w:rPr>
                <w:rFonts w:ascii="微软雅黑" w:eastAsia="微软雅黑" w:hAnsi="微软雅黑" w:cs="宋体" w:hint="eastAsia"/>
                <w:kern w:val="0"/>
                <w:sz w:val="16"/>
                <w:szCs w:val="16"/>
              </w:rPr>
            </w:pPr>
            <w:r w:rsidRPr="00460A13">
              <w:rPr>
                <w:rFonts w:ascii="微软雅黑" w:eastAsia="微软雅黑" w:hAnsi="微软雅黑" w:cs="宋体" w:hint="eastAsia"/>
                <w:kern w:val="0"/>
                <w:sz w:val="22"/>
              </w:rPr>
              <w:t> </w:t>
            </w:r>
          </w:p>
          <w:p w:rsidR="00460A13" w:rsidRPr="00460A13" w:rsidRDefault="00460A13" w:rsidP="00460A13">
            <w:pPr>
              <w:widowControl/>
              <w:jc w:val="left"/>
              <w:rPr>
                <w:rFonts w:ascii="微软雅黑" w:eastAsia="微软雅黑" w:hAnsi="微软雅黑" w:cs="宋体" w:hint="eastAsia"/>
                <w:kern w:val="0"/>
                <w:sz w:val="16"/>
                <w:szCs w:val="16"/>
              </w:rPr>
            </w:pPr>
            <w:r w:rsidRPr="00460A13">
              <w:rPr>
                <w:rFonts w:ascii="微软雅黑" w:eastAsia="微软雅黑" w:hAnsi="微软雅黑" w:cs="宋体" w:hint="eastAsia"/>
                <w:kern w:val="0"/>
                <w:sz w:val="22"/>
              </w:rPr>
              <w:t>股票</w:t>
            </w:r>
          </w:p>
          <w:p w:rsidR="00460A13" w:rsidRPr="00460A13" w:rsidRDefault="00460A13" w:rsidP="00460A13">
            <w:pPr>
              <w:widowControl/>
              <w:jc w:val="left"/>
              <w:rPr>
                <w:rFonts w:ascii="微软雅黑" w:eastAsia="微软雅黑" w:hAnsi="微软雅黑" w:cs="宋体"/>
                <w:kern w:val="0"/>
                <w:sz w:val="16"/>
                <w:szCs w:val="16"/>
              </w:rPr>
            </w:pPr>
            <w:r w:rsidRPr="00460A13">
              <w:rPr>
                <w:rFonts w:ascii="微软雅黑" w:eastAsia="微软雅黑" w:hAnsi="微软雅黑" w:cs="宋体" w:hint="eastAsia"/>
                <w:kern w:val="0"/>
                <w:sz w:val="22"/>
              </w:rPr>
              <w:t> </w:t>
            </w:r>
          </w:p>
        </w:tc>
        <w:tc>
          <w:tcPr>
            <w:tcW w:w="6090" w:type="dxa"/>
            <w:tcBorders>
              <w:top w:val="nil"/>
              <w:left w:val="nil"/>
              <w:bottom w:val="nil"/>
              <w:right w:val="nil"/>
            </w:tcBorders>
            <w:tcMar>
              <w:top w:w="0" w:type="dxa"/>
              <w:left w:w="95" w:type="dxa"/>
              <w:bottom w:w="0" w:type="dxa"/>
              <w:right w:w="95" w:type="dxa"/>
            </w:tcMar>
            <w:vAlign w:val="center"/>
            <w:hideMark/>
          </w:tcPr>
          <w:p w:rsidR="00460A13" w:rsidRPr="00460A13" w:rsidRDefault="00460A13" w:rsidP="00460A13">
            <w:pPr>
              <w:widowControl/>
              <w:jc w:val="left"/>
              <w:rPr>
                <w:rFonts w:ascii="微软雅黑" w:eastAsia="微软雅黑" w:hAnsi="微软雅黑" w:cs="宋体"/>
                <w:kern w:val="0"/>
                <w:sz w:val="16"/>
                <w:szCs w:val="16"/>
              </w:rPr>
            </w:pPr>
            <w:r w:rsidRPr="00460A13">
              <w:rPr>
                <w:rFonts w:ascii="微软雅黑" w:eastAsia="微软雅黑" w:hAnsi="微软雅黑" w:cs="宋体" w:hint="eastAsia"/>
                <w:kern w:val="0"/>
                <w:sz w:val="22"/>
              </w:rPr>
              <w:t> </w:t>
            </w:r>
          </w:p>
          <w:p w:rsidR="00460A13" w:rsidRPr="00460A13" w:rsidRDefault="00460A13" w:rsidP="00460A13">
            <w:pPr>
              <w:widowControl/>
              <w:jc w:val="left"/>
              <w:rPr>
                <w:rFonts w:ascii="微软雅黑" w:eastAsia="微软雅黑" w:hAnsi="微软雅黑" w:cs="宋体" w:hint="eastAsia"/>
                <w:kern w:val="0"/>
                <w:sz w:val="16"/>
                <w:szCs w:val="16"/>
              </w:rPr>
            </w:pPr>
            <w:r w:rsidRPr="00460A13">
              <w:rPr>
                <w:rFonts w:ascii="微软雅黑" w:eastAsia="微软雅黑" w:hAnsi="微软雅黑" w:cs="宋体" w:hint="eastAsia"/>
                <w:kern w:val="0"/>
                <w:sz w:val="22"/>
              </w:rPr>
              <w:t>99.858%</w:t>
            </w:r>
          </w:p>
          <w:p w:rsidR="00460A13" w:rsidRPr="00460A13" w:rsidRDefault="00460A13" w:rsidP="00460A13">
            <w:pPr>
              <w:widowControl/>
              <w:jc w:val="left"/>
              <w:rPr>
                <w:rFonts w:ascii="微软雅黑" w:eastAsia="微软雅黑" w:hAnsi="微软雅黑" w:cs="宋体"/>
                <w:kern w:val="0"/>
                <w:sz w:val="16"/>
                <w:szCs w:val="16"/>
              </w:rPr>
            </w:pPr>
            <w:r w:rsidRPr="00460A13">
              <w:rPr>
                <w:rFonts w:ascii="微软雅黑" w:eastAsia="微软雅黑" w:hAnsi="微软雅黑" w:cs="宋体" w:hint="eastAsia"/>
                <w:kern w:val="0"/>
                <w:sz w:val="22"/>
              </w:rPr>
              <w:t> </w:t>
            </w:r>
          </w:p>
        </w:tc>
      </w:tr>
      <w:tr w:rsidR="00460A13" w:rsidRPr="00460A13" w:rsidTr="00460A13">
        <w:trPr>
          <w:trHeight w:val="705"/>
          <w:jc w:val="center"/>
        </w:trPr>
        <w:tc>
          <w:tcPr>
            <w:tcW w:w="2280" w:type="dxa"/>
            <w:tcBorders>
              <w:top w:val="nil"/>
              <w:left w:val="nil"/>
              <w:bottom w:val="nil"/>
              <w:right w:val="nil"/>
            </w:tcBorders>
            <w:tcMar>
              <w:top w:w="0" w:type="dxa"/>
              <w:left w:w="95" w:type="dxa"/>
              <w:bottom w:w="0" w:type="dxa"/>
              <w:right w:w="95" w:type="dxa"/>
            </w:tcMar>
            <w:vAlign w:val="center"/>
            <w:hideMark/>
          </w:tcPr>
          <w:p w:rsidR="00460A13" w:rsidRPr="00460A13" w:rsidRDefault="00460A13" w:rsidP="00460A13">
            <w:pPr>
              <w:widowControl/>
              <w:jc w:val="left"/>
              <w:rPr>
                <w:rFonts w:ascii="微软雅黑" w:eastAsia="微软雅黑" w:hAnsi="微软雅黑" w:cs="宋体" w:hint="eastAsia"/>
                <w:kern w:val="0"/>
                <w:sz w:val="16"/>
                <w:szCs w:val="16"/>
              </w:rPr>
            </w:pPr>
            <w:r w:rsidRPr="00460A13">
              <w:rPr>
                <w:rFonts w:ascii="微软雅黑" w:eastAsia="微软雅黑" w:hAnsi="微软雅黑" w:cs="宋体" w:hint="eastAsia"/>
                <w:kern w:val="0"/>
                <w:sz w:val="22"/>
              </w:rPr>
              <w:t> </w:t>
            </w:r>
          </w:p>
          <w:p w:rsidR="00460A13" w:rsidRPr="00460A13" w:rsidRDefault="00460A13" w:rsidP="00460A13">
            <w:pPr>
              <w:widowControl/>
              <w:jc w:val="left"/>
              <w:rPr>
                <w:rFonts w:ascii="微软雅黑" w:eastAsia="微软雅黑" w:hAnsi="微软雅黑" w:cs="宋体" w:hint="eastAsia"/>
                <w:kern w:val="0"/>
                <w:sz w:val="16"/>
                <w:szCs w:val="16"/>
              </w:rPr>
            </w:pPr>
            <w:r w:rsidRPr="00460A13">
              <w:rPr>
                <w:rFonts w:ascii="微软雅黑" w:eastAsia="微软雅黑" w:hAnsi="微软雅黑" w:cs="宋体" w:hint="eastAsia"/>
                <w:kern w:val="0"/>
                <w:sz w:val="22"/>
              </w:rPr>
              <w:t>货币资金</w:t>
            </w:r>
          </w:p>
          <w:p w:rsidR="00460A13" w:rsidRPr="00460A13" w:rsidRDefault="00460A13" w:rsidP="00460A13">
            <w:pPr>
              <w:widowControl/>
              <w:jc w:val="left"/>
              <w:rPr>
                <w:rFonts w:ascii="微软雅黑" w:eastAsia="微软雅黑" w:hAnsi="微软雅黑" w:cs="宋体"/>
                <w:kern w:val="0"/>
                <w:sz w:val="16"/>
                <w:szCs w:val="16"/>
              </w:rPr>
            </w:pPr>
            <w:r w:rsidRPr="00460A13">
              <w:rPr>
                <w:rFonts w:ascii="微软雅黑" w:eastAsia="微软雅黑" w:hAnsi="微软雅黑" w:cs="宋体" w:hint="eastAsia"/>
                <w:kern w:val="0"/>
                <w:sz w:val="22"/>
              </w:rPr>
              <w:t> </w:t>
            </w:r>
          </w:p>
        </w:tc>
        <w:tc>
          <w:tcPr>
            <w:tcW w:w="6090" w:type="dxa"/>
            <w:tcBorders>
              <w:top w:val="nil"/>
              <w:left w:val="nil"/>
              <w:bottom w:val="nil"/>
              <w:right w:val="nil"/>
            </w:tcBorders>
            <w:tcMar>
              <w:top w:w="0" w:type="dxa"/>
              <w:left w:w="95" w:type="dxa"/>
              <w:bottom w:w="0" w:type="dxa"/>
              <w:right w:w="95" w:type="dxa"/>
            </w:tcMar>
            <w:vAlign w:val="center"/>
            <w:hideMark/>
          </w:tcPr>
          <w:p w:rsidR="00460A13" w:rsidRPr="00460A13" w:rsidRDefault="00460A13" w:rsidP="00460A13">
            <w:pPr>
              <w:widowControl/>
              <w:jc w:val="left"/>
              <w:rPr>
                <w:rFonts w:ascii="微软雅黑" w:eastAsia="微软雅黑" w:hAnsi="微软雅黑" w:cs="宋体"/>
                <w:kern w:val="0"/>
                <w:sz w:val="16"/>
                <w:szCs w:val="16"/>
              </w:rPr>
            </w:pPr>
            <w:r w:rsidRPr="00460A13">
              <w:rPr>
                <w:rFonts w:ascii="微软雅黑" w:eastAsia="微软雅黑" w:hAnsi="微软雅黑" w:cs="宋体" w:hint="eastAsia"/>
                <w:kern w:val="0"/>
                <w:sz w:val="22"/>
              </w:rPr>
              <w:t> </w:t>
            </w:r>
          </w:p>
          <w:p w:rsidR="00460A13" w:rsidRPr="00460A13" w:rsidRDefault="00460A13" w:rsidP="00460A13">
            <w:pPr>
              <w:widowControl/>
              <w:jc w:val="left"/>
              <w:rPr>
                <w:rFonts w:ascii="微软雅黑" w:eastAsia="微软雅黑" w:hAnsi="微软雅黑" w:cs="宋体" w:hint="eastAsia"/>
                <w:kern w:val="0"/>
                <w:sz w:val="16"/>
                <w:szCs w:val="16"/>
              </w:rPr>
            </w:pPr>
            <w:r w:rsidRPr="00460A13">
              <w:rPr>
                <w:rFonts w:ascii="微软雅黑" w:eastAsia="微软雅黑" w:hAnsi="微软雅黑" w:cs="宋体" w:hint="eastAsia"/>
                <w:kern w:val="0"/>
                <w:sz w:val="22"/>
              </w:rPr>
              <w:t>0.142%</w:t>
            </w:r>
          </w:p>
          <w:p w:rsidR="00460A13" w:rsidRPr="00460A13" w:rsidRDefault="00460A13" w:rsidP="00460A13">
            <w:pPr>
              <w:widowControl/>
              <w:jc w:val="left"/>
              <w:rPr>
                <w:rFonts w:ascii="微软雅黑" w:eastAsia="微软雅黑" w:hAnsi="微软雅黑" w:cs="宋体"/>
                <w:kern w:val="0"/>
                <w:sz w:val="16"/>
                <w:szCs w:val="16"/>
              </w:rPr>
            </w:pPr>
            <w:r w:rsidRPr="00460A13">
              <w:rPr>
                <w:rFonts w:ascii="微软雅黑" w:eastAsia="微软雅黑" w:hAnsi="微软雅黑" w:cs="宋体" w:hint="eastAsia"/>
                <w:kern w:val="0"/>
                <w:sz w:val="22"/>
              </w:rPr>
              <w:t> </w:t>
            </w:r>
          </w:p>
        </w:tc>
      </w:tr>
      <w:tr w:rsidR="00460A13" w:rsidRPr="00460A13" w:rsidTr="00460A13">
        <w:trPr>
          <w:trHeight w:val="705"/>
          <w:jc w:val="center"/>
        </w:trPr>
        <w:tc>
          <w:tcPr>
            <w:tcW w:w="2280" w:type="dxa"/>
            <w:tcBorders>
              <w:top w:val="nil"/>
              <w:left w:val="nil"/>
              <w:bottom w:val="nil"/>
              <w:right w:val="nil"/>
            </w:tcBorders>
            <w:tcMar>
              <w:top w:w="0" w:type="dxa"/>
              <w:left w:w="95" w:type="dxa"/>
              <w:bottom w:w="0" w:type="dxa"/>
              <w:right w:w="95" w:type="dxa"/>
            </w:tcMar>
            <w:vAlign w:val="center"/>
            <w:hideMark/>
          </w:tcPr>
          <w:p w:rsidR="00460A13" w:rsidRPr="00460A13" w:rsidRDefault="00460A13" w:rsidP="00460A13">
            <w:pPr>
              <w:widowControl/>
              <w:jc w:val="left"/>
              <w:rPr>
                <w:rFonts w:ascii="微软雅黑" w:eastAsia="微软雅黑" w:hAnsi="微软雅黑" w:cs="宋体" w:hint="eastAsia"/>
                <w:kern w:val="0"/>
                <w:sz w:val="16"/>
                <w:szCs w:val="16"/>
              </w:rPr>
            </w:pPr>
            <w:r w:rsidRPr="00460A13">
              <w:rPr>
                <w:rFonts w:ascii="微软雅黑" w:eastAsia="微软雅黑" w:hAnsi="微软雅黑" w:cs="宋体" w:hint="eastAsia"/>
                <w:kern w:val="0"/>
                <w:sz w:val="22"/>
              </w:rPr>
              <w:t> </w:t>
            </w:r>
          </w:p>
          <w:p w:rsidR="00460A13" w:rsidRPr="00460A13" w:rsidRDefault="00460A13" w:rsidP="00460A13">
            <w:pPr>
              <w:widowControl/>
              <w:jc w:val="left"/>
              <w:rPr>
                <w:rFonts w:ascii="微软雅黑" w:eastAsia="微软雅黑" w:hAnsi="微软雅黑" w:cs="宋体" w:hint="eastAsia"/>
                <w:kern w:val="0"/>
                <w:sz w:val="16"/>
                <w:szCs w:val="16"/>
              </w:rPr>
            </w:pPr>
            <w:r w:rsidRPr="00460A13">
              <w:rPr>
                <w:rFonts w:ascii="微软雅黑" w:eastAsia="微软雅黑" w:hAnsi="微软雅黑" w:cs="宋体" w:hint="eastAsia"/>
                <w:kern w:val="0"/>
                <w:sz w:val="22"/>
              </w:rPr>
              <w:t>基金</w:t>
            </w:r>
          </w:p>
          <w:p w:rsidR="00460A13" w:rsidRPr="00460A13" w:rsidRDefault="00460A13" w:rsidP="00460A13">
            <w:pPr>
              <w:widowControl/>
              <w:jc w:val="left"/>
              <w:rPr>
                <w:rFonts w:ascii="微软雅黑" w:eastAsia="微软雅黑" w:hAnsi="微软雅黑" w:cs="宋体"/>
                <w:kern w:val="0"/>
                <w:sz w:val="16"/>
                <w:szCs w:val="16"/>
              </w:rPr>
            </w:pPr>
            <w:r w:rsidRPr="00460A13">
              <w:rPr>
                <w:rFonts w:ascii="微软雅黑" w:eastAsia="微软雅黑" w:hAnsi="微软雅黑" w:cs="宋体" w:hint="eastAsia"/>
                <w:kern w:val="0"/>
                <w:sz w:val="22"/>
              </w:rPr>
              <w:t> </w:t>
            </w:r>
          </w:p>
        </w:tc>
        <w:tc>
          <w:tcPr>
            <w:tcW w:w="6090" w:type="dxa"/>
            <w:tcBorders>
              <w:top w:val="nil"/>
              <w:left w:val="nil"/>
              <w:bottom w:val="nil"/>
              <w:right w:val="nil"/>
            </w:tcBorders>
            <w:tcMar>
              <w:top w:w="0" w:type="dxa"/>
              <w:left w:w="95" w:type="dxa"/>
              <w:bottom w:w="0" w:type="dxa"/>
              <w:right w:w="95" w:type="dxa"/>
            </w:tcMar>
            <w:vAlign w:val="center"/>
            <w:hideMark/>
          </w:tcPr>
          <w:p w:rsidR="00460A13" w:rsidRPr="00460A13" w:rsidRDefault="00460A13" w:rsidP="00460A13">
            <w:pPr>
              <w:widowControl/>
              <w:jc w:val="left"/>
              <w:rPr>
                <w:rFonts w:ascii="微软雅黑" w:eastAsia="微软雅黑" w:hAnsi="微软雅黑" w:cs="宋体"/>
                <w:kern w:val="0"/>
                <w:sz w:val="16"/>
                <w:szCs w:val="16"/>
              </w:rPr>
            </w:pPr>
            <w:r w:rsidRPr="00460A13">
              <w:rPr>
                <w:rFonts w:ascii="微软雅黑" w:eastAsia="微软雅黑" w:hAnsi="微软雅黑" w:cs="宋体" w:hint="eastAsia"/>
                <w:kern w:val="0"/>
                <w:sz w:val="22"/>
              </w:rPr>
              <w:t> </w:t>
            </w:r>
          </w:p>
          <w:p w:rsidR="00460A13" w:rsidRPr="00460A13" w:rsidRDefault="00460A13" w:rsidP="00460A13">
            <w:pPr>
              <w:widowControl/>
              <w:jc w:val="left"/>
              <w:rPr>
                <w:rFonts w:ascii="微软雅黑" w:eastAsia="微软雅黑" w:hAnsi="微软雅黑" w:cs="宋体" w:hint="eastAsia"/>
                <w:kern w:val="0"/>
                <w:sz w:val="16"/>
                <w:szCs w:val="16"/>
              </w:rPr>
            </w:pPr>
            <w:r w:rsidRPr="00460A13">
              <w:rPr>
                <w:rFonts w:ascii="微软雅黑" w:eastAsia="微软雅黑" w:hAnsi="微软雅黑" w:cs="宋体" w:hint="eastAsia"/>
                <w:kern w:val="0"/>
                <w:sz w:val="22"/>
              </w:rPr>
              <w:t>0</w:t>
            </w:r>
          </w:p>
          <w:p w:rsidR="00460A13" w:rsidRPr="00460A13" w:rsidRDefault="00460A13" w:rsidP="00460A13">
            <w:pPr>
              <w:widowControl/>
              <w:jc w:val="left"/>
              <w:rPr>
                <w:rFonts w:ascii="微软雅黑" w:eastAsia="微软雅黑" w:hAnsi="微软雅黑" w:cs="宋体"/>
                <w:kern w:val="0"/>
                <w:sz w:val="16"/>
                <w:szCs w:val="16"/>
              </w:rPr>
            </w:pPr>
            <w:r w:rsidRPr="00460A13">
              <w:rPr>
                <w:rFonts w:ascii="微软雅黑" w:eastAsia="微软雅黑" w:hAnsi="微软雅黑" w:cs="宋体" w:hint="eastAsia"/>
                <w:kern w:val="0"/>
                <w:sz w:val="22"/>
              </w:rPr>
              <w:t> </w:t>
            </w:r>
          </w:p>
        </w:tc>
      </w:tr>
    </w:tbl>
    <w:p w:rsidR="00460A13" w:rsidRPr="00460A13" w:rsidRDefault="00460A13" w:rsidP="00460A13">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460A13">
        <w:rPr>
          <w:rFonts w:ascii="楷体_GB2312" w:eastAsia="楷体_GB2312" w:hAnsi="微软雅黑" w:cs="宋体" w:hint="eastAsia"/>
          <w:color w:val="333333"/>
          <w:kern w:val="0"/>
          <w:sz w:val="18"/>
          <w:szCs w:val="18"/>
        </w:rPr>
        <w:t>注：该表中数据以2013年12月31日收盘价计算，且未计算银行及保证金应收利息。</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b/>
          <w:bCs/>
          <w:color w:val="333333"/>
          <w:kern w:val="0"/>
          <w:sz w:val="25"/>
        </w:rPr>
        <w:t>四、报告期内业绩表现</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信托计划成立以来净值增长率与沪深300指数变动率比较</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2013年12月31日净值为1.0551元，自信托计划2013年3月14日成立以来，净值累计上涨了5.51%，同期沪深300指数下跌8.06%，本信托计划的累计净值增长率表现优于沪深300指数走势。</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b/>
          <w:bCs/>
          <w:color w:val="333333"/>
          <w:kern w:val="0"/>
          <w:sz w:val="25"/>
        </w:rPr>
        <w:t>五、投资顾问投资分析</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申明：本部分由投资顾问撰写，投资策略并不代表受托人的观点，仅供委托人投资决策参考。</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从消息面看，公布的中国9月汇丰制造业PMI预览值51.2，创6个月新高，显示经济回暖持续，利好股市。</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对于后市行情发展，不少机构认为反弹仍将延续。本公司在10月份与投资者开展一场A股四季度投资策略报告。本公司认为，对经济复苏的持续性略微乐观，看好A股9月及10月行情，即“金九银十”；但我们也认为四季度后半段的行情具有不确定性，存在年底草草收尾的可能性，即“虎头蛇尾”。</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本公司的核心逻辑，“预期差”成为左右今年A股行情的关键。支持6月底以来的A股市场上涨的主要动力是对增长和改革的“预期差”，与2012年年底市场的上涨、2013年2月份以后的下跌具有类似的属性。</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本公司认为，2012年年底，当时新的领导集体表现出一些新动向，经济数据的好转也好于之前市场对改革和增长比较悲观的预期，因此从去年年底到今年2月份，市场修正比较悲观的预期，走出了一波上涨行情；但今年2月份之后，经济弱复苏以及两会中传递的改革信息，使得现实与之前市场修正之后的乐观预期又产生了“预期差”，特别是一季度的经济数据印证了经济的疲弱以及复苏预期的落空，市场从2月中调整到6月底，就是修正这种新的“预期差”的过程；6月底以来，市场在纠结中上涨又是一段修正“预期差”的过程。一方面7-8月份的宏观数据显示增长在短期好于之前比较悲观的预期，而另一方面，政府的一系列工作(包括上海自贸区的引入等)又再度激发了市场对于改革的预期。</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目前市场依然处于修正这种“预期差”的过程之中，虽然短期有波动，但修正“预期差”的上涨有望持续到10月份。而10月份之后的行情，要视经济复苏持续性和改革预期兑现程度来判断。综合来看，本公司看好9月及10月的行情，并认为9月份收益可能会比10月份略好，这就是“金九银十”。但中金公司也认为四季度后半段的行情还具有不确定性，他们认为，在今年年初市场已经较好的情况下(“虎头”)，靠近年底的行情存在草草收尾的可能性(“蛇尾”)，全年看是“虎头蛇尾”。</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谈到四季度行业配置，本公司做出两个投资调整。一是以高贝塔系数的金融股(券商、银行)参与复苏和改革预期支持的上涨，不重仓深周期的板块；二是在成长股选择上，从今年年初至今表现优异的高估值传媒、电子等板块逐步转移仓位，逢低吸纳已经有所调整的医疗保健龙头个股，以及估值还合理的大众消费板块，包括汽车、酒食品饮料、餐饮旅游、家电等。</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近日也发布投资策略报告称，在四季度行业配置上，我们积极找景气反转的行业，看好通信设备、铁路设备、乳制品以及地产板块。认为，通信设备以及铁路设备有望受益于政府稳增长的政策拉动；乳制品行业有望受益于政府打击劣质奶粉以及反垄断；地产从行业景气、政策预期、催化剂、业绩增速的角度来看都具有相对优势，三中全会有相关土地政策出台的话，应会带来部分地产公司资产价值重估的预期。</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b/>
          <w:bCs/>
          <w:color w:val="333333"/>
          <w:kern w:val="0"/>
          <w:sz w:val="25"/>
        </w:rPr>
        <w:t>六、受托人重要事项变更通知</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b/>
          <w:bCs/>
          <w:color w:val="333333"/>
          <w:kern w:val="0"/>
          <w:sz w:val="22"/>
        </w:rPr>
        <w:t>（一）信托执行经理变更说明</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无</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b/>
          <w:bCs/>
          <w:color w:val="333333"/>
          <w:kern w:val="0"/>
          <w:sz w:val="22"/>
        </w:rPr>
        <w:t>（二）受托人、投资顾问、保管银行及证券经纪人变更说明</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无</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b/>
          <w:bCs/>
          <w:color w:val="333333"/>
          <w:kern w:val="0"/>
          <w:sz w:val="22"/>
        </w:rPr>
        <w:t>（三）信托资金运用重大变动说明</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无</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b/>
          <w:bCs/>
          <w:color w:val="333333"/>
          <w:kern w:val="0"/>
          <w:sz w:val="22"/>
        </w:rPr>
        <w:t>（四）涉及诉讼或者损害信托财产、委托人或者受益人利益的情形</w:t>
      </w:r>
    </w:p>
    <w:p w:rsidR="00460A13" w:rsidRPr="00460A13" w:rsidRDefault="00460A13" w:rsidP="00460A13">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 xml:space="preserve">　　无</w:t>
      </w:r>
    </w:p>
    <w:p w:rsidR="00460A13" w:rsidRPr="00460A13" w:rsidRDefault="00460A13" w:rsidP="00460A13">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广东粤财信托有限公司</w:t>
      </w:r>
    </w:p>
    <w:p w:rsidR="00460A13" w:rsidRPr="00460A13" w:rsidRDefault="00460A13" w:rsidP="00460A13">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460A13">
        <w:rPr>
          <w:rFonts w:ascii="微软雅黑" w:eastAsia="微软雅黑" w:hAnsi="微软雅黑" w:cs="宋体" w:hint="eastAsia"/>
          <w:color w:val="333333"/>
          <w:kern w:val="0"/>
          <w:sz w:val="22"/>
        </w:rPr>
        <w:t>2014年1月18日</w:t>
      </w:r>
    </w:p>
    <w:p w:rsidR="00BF1277" w:rsidRDefault="00BF1277"/>
    <w:sectPr w:rsidR="00BF127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1277" w:rsidRDefault="00BF1277" w:rsidP="00460A13">
      <w:r>
        <w:separator/>
      </w:r>
    </w:p>
  </w:endnote>
  <w:endnote w:type="continuationSeparator" w:id="1">
    <w:p w:rsidR="00BF1277" w:rsidRDefault="00BF1277" w:rsidP="00460A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1277" w:rsidRDefault="00BF1277" w:rsidP="00460A13">
      <w:r>
        <w:separator/>
      </w:r>
    </w:p>
  </w:footnote>
  <w:footnote w:type="continuationSeparator" w:id="1">
    <w:p w:rsidR="00BF1277" w:rsidRDefault="00BF1277" w:rsidP="00460A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60A13"/>
    <w:rsid w:val="00460A13"/>
    <w:rsid w:val="00BF12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60A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60A13"/>
    <w:rPr>
      <w:sz w:val="18"/>
      <w:szCs w:val="18"/>
    </w:rPr>
  </w:style>
  <w:style w:type="paragraph" w:styleId="a4">
    <w:name w:val="footer"/>
    <w:basedOn w:val="a"/>
    <w:link w:val="Char0"/>
    <w:uiPriority w:val="99"/>
    <w:semiHidden/>
    <w:unhideWhenUsed/>
    <w:rsid w:val="00460A1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60A13"/>
    <w:rPr>
      <w:sz w:val="18"/>
      <w:szCs w:val="18"/>
    </w:rPr>
  </w:style>
  <w:style w:type="paragraph" w:styleId="a5">
    <w:name w:val="Normal (Web)"/>
    <w:basedOn w:val="a"/>
    <w:uiPriority w:val="99"/>
    <w:semiHidden/>
    <w:unhideWhenUsed/>
    <w:rsid w:val="00460A1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460A13"/>
    <w:rPr>
      <w:b/>
      <w:bCs/>
    </w:rPr>
  </w:style>
</w:styles>
</file>

<file path=word/webSettings.xml><?xml version="1.0" encoding="utf-8"?>
<w:webSettings xmlns:r="http://schemas.openxmlformats.org/officeDocument/2006/relationships" xmlns:w="http://schemas.openxmlformats.org/wordprocessingml/2006/main">
  <w:divs>
    <w:div w:id="248083784">
      <w:bodyDiv w:val="1"/>
      <w:marLeft w:val="0"/>
      <w:marRight w:val="0"/>
      <w:marTop w:val="0"/>
      <w:marBottom w:val="0"/>
      <w:divBdr>
        <w:top w:val="none" w:sz="0" w:space="0" w:color="auto"/>
        <w:left w:val="none" w:sz="0" w:space="0" w:color="auto"/>
        <w:bottom w:val="none" w:sz="0" w:space="0" w:color="auto"/>
        <w:right w:val="none" w:sz="0" w:space="0" w:color="auto"/>
      </w:divBdr>
      <w:divsChild>
        <w:div w:id="556670923">
          <w:marLeft w:val="0"/>
          <w:marRight w:val="204"/>
          <w:marTop w:val="0"/>
          <w:marBottom w:val="0"/>
          <w:divBdr>
            <w:top w:val="none" w:sz="0" w:space="0" w:color="auto"/>
            <w:left w:val="none" w:sz="0" w:space="0" w:color="auto"/>
            <w:bottom w:val="none" w:sz="0" w:space="0" w:color="auto"/>
            <w:right w:val="none" w:sz="0" w:space="0" w:color="auto"/>
          </w:divBdr>
        </w:div>
      </w:divsChild>
    </w:div>
    <w:div w:id="835655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329</Words>
  <Characters>1878</Characters>
  <Application>Microsoft Office Word</Application>
  <DocSecurity>0</DocSecurity>
  <Lines>15</Lines>
  <Paragraphs>4</Paragraphs>
  <ScaleCrop>false</ScaleCrop>
  <Company/>
  <LinksUpToDate>false</LinksUpToDate>
  <CharactersWithSpaces>2203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2014-01-29T00:37:00Z</dcterms:created>
  <dcterms:modified xsi:type="dcterms:W3CDTF">2014-01-29T00:37:00Z</dcterms:modified>
</cp:coreProperties>
</file>