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1100" w:type="dxa"/>
        <w:tblCellSpacing w:w="0" w:type="dxa"/>
        <w:tblCellMar>
          <w:left w:w="0" w:type="dxa"/>
          <w:right w:w="0" w:type="dxa"/>
        </w:tblCellMar>
        <w:tblLook w:val="04A0"/>
      </w:tblPr>
      <w:tblGrid>
        <w:gridCol w:w="11100"/>
      </w:tblGrid>
      <w:tr w:rsidR="00DF3B44" w:rsidRPr="00DF3B44" w:rsidTr="00DF3B44">
        <w:trPr>
          <w:trHeight w:val="750"/>
          <w:tblCellSpacing w:w="0" w:type="dxa"/>
        </w:trPr>
        <w:tc>
          <w:tcPr>
            <w:tcW w:w="0" w:type="auto"/>
            <w:vAlign w:val="center"/>
            <w:hideMark/>
          </w:tcPr>
          <w:p w:rsidR="00DF3B44" w:rsidRPr="00DF3B44" w:rsidRDefault="00DF3B44" w:rsidP="00DF3B44">
            <w:pPr>
              <w:widowControl/>
              <w:spacing w:line="299" w:lineRule="atLeast"/>
              <w:jc w:val="center"/>
              <w:rPr>
                <w:rFonts w:ascii="宋体" w:eastAsia="宋体" w:hAnsi="宋体" w:cs="宋体"/>
                <w:b/>
                <w:bCs/>
                <w:color w:val="FF8300"/>
                <w:kern w:val="0"/>
                <w:sz w:val="19"/>
                <w:szCs w:val="19"/>
              </w:rPr>
            </w:pPr>
            <w:r w:rsidRPr="00DF3B44">
              <w:rPr>
                <w:rFonts w:ascii="宋体" w:eastAsia="宋体" w:hAnsi="宋体" w:cs="宋体" w:hint="eastAsia"/>
                <w:b/>
                <w:bCs/>
                <w:color w:val="FF8300"/>
                <w:kern w:val="0"/>
                <w:sz w:val="19"/>
                <w:szCs w:val="19"/>
              </w:rPr>
              <w:t>华润信托·东源嘉盈3期集合资金信托计划成立公告</w:t>
            </w:r>
          </w:p>
        </w:tc>
      </w:tr>
      <w:tr w:rsidR="00DF3B44" w:rsidRPr="00DF3B44" w:rsidTr="00DF3B44">
        <w:trPr>
          <w:trHeight w:val="60"/>
          <w:tblCellSpacing w:w="0" w:type="dxa"/>
        </w:trPr>
        <w:tc>
          <w:tcPr>
            <w:tcW w:w="0" w:type="auto"/>
            <w:vAlign w:val="center"/>
            <w:hideMark/>
          </w:tcPr>
          <w:p w:rsidR="00DF3B44" w:rsidRPr="00DF3B44" w:rsidRDefault="00DF3B44" w:rsidP="00DF3B44">
            <w:pPr>
              <w:widowControl/>
              <w:spacing w:line="60" w:lineRule="atLeast"/>
              <w:jc w:val="center"/>
              <w:rPr>
                <w:rFonts w:ascii="Simsun" w:eastAsia="宋体" w:hAnsi="Simsun" w:cs="宋体"/>
                <w:color w:val="000000"/>
                <w:kern w:val="0"/>
                <w:sz w:val="16"/>
                <w:szCs w:val="16"/>
              </w:rPr>
            </w:pPr>
            <w:r>
              <w:rPr>
                <w:rFonts w:ascii="Simsun" w:eastAsia="宋体" w:hAnsi="Simsun" w:cs="宋体" w:hint="eastAsia"/>
                <w:noProof/>
                <w:color w:val="000000"/>
                <w:kern w:val="0"/>
                <w:sz w:val="16"/>
                <w:szCs w:val="16"/>
              </w:rPr>
              <w:drawing>
                <wp:inline distT="0" distB="0" distL="0" distR="0">
                  <wp:extent cx="6901180" cy="34290"/>
                  <wp:effectExtent l="19050" t="0" r="0" b="0"/>
                  <wp:docPr id="1" name="图片 1" descr="http://www.crctrust.com/images/pic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rctrust.com/images/pic009.gif"/>
                          <pic:cNvPicPr>
                            <a:picLocks noChangeAspect="1" noChangeArrowheads="1"/>
                          </pic:cNvPicPr>
                        </pic:nvPicPr>
                        <pic:blipFill>
                          <a:blip r:embed="rId6"/>
                          <a:srcRect/>
                          <a:stretch>
                            <a:fillRect/>
                          </a:stretch>
                        </pic:blipFill>
                        <pic:spPr bwMode="auto">
                          <a:xfrm>
                            <a:off x="0" y="0"/>
                            <a:ext cx="6901180" cy="34290"/>
                          </a:xfrm>
                          <a:prstGeom prst="rect">
                            <a:avLst/>
                          </a:prstGeom>
                          <a:noFill/>
                          <a:ln w="9525">
                            <a:noFill/>
                            <a:miter lim="800000"/>
                            <a:headEnd/>
                            <a:tailEnd/>
                          </a:ln>
                        </pic:spPr>
                      </pic:pic>
                    </a:graphicData>
                  </a:graphic>
                </wp:inline>
              </w:drawing>
            </w:r>
          </w:p>
        </w:tc>
      </w:tr>
      <w:tr w:rsidR="00DF3B44" w:rsidRPr="00DF3B44" w:rsidTr="00DF3B44">
        <w:trPr>
          <w:trHeight w:val="150"/>
          <w:tblCellSpacing w:w="0" w:type="dxa"/>
        </w:trPr>
        <w:tc>
          <w:tcPr>
            <w:tcW w:w="0" w:type="auto"/>
            <w:vAlign w:val="center"/>
            <w:hideMark/>
          </w:tcPr>
          <w:p w:rsidR="00DF3B44" w:rsidRPr="00DF3B44" w:rsidRDefault="00DF3B44" w:rsidP="00DF3B44">
            <w:pPr>
              <w:widowControl/>
              <w:spacing w:line="299" w:lineRule="atLeast"/>
              <w:jc w:val="left"/>
              <w:rPr>
                <w:rFonts w:ascii="Simsun" w:eastAsia="宋体" w:hAnsi="Simsun" w:cs="宋体"/>
                <w:color w:val="000000"/>
                <w:kern w:val="0"/>
                <w:sz w:val="16"/>
                <w:szCs w:val="16"/>
              </w:rPr>
            </w:pPr>
          </w:p>
        </w:tc>
      </w:tr>
      <w:tr w:rsidR="00DF3B44" w:rsidRPr="00DF3B44" w:rsidTr="00DF3B44">
        <w:trPr>
          <w:tblCellSpacing w:w="0" w:type="dxa"/>
        </w:trPr>
        <w:tc>
          <w:tcPr>
            <w:tcW w:w="0" w:type="auto"/>
            <w:vAlign w:val="center"/>
            <w:hideMark/>
          </w:tcPr>
          <w:p w:rsidR="00DF3B44" w:rsidRPr="00DF3B44" w:rsidRDefault="00DF3B44" w:rsidP="00DF3B44">
            <w:pPr>
              <w:widowControl/>
              <w:rPr>
                <w:rFonts w:ascii="宋体" w:eastAsia="宋体" w:hAnsi="宋体" w:cs="宋体"/>
                <w:color w:val="000000"/>
                <w:spacing w:val="14"/>
                <w:kern w:val="0"/>
                <w:sz w:val="18"/>
                <w:szCs w:val="18"/>
              </w:rPr>
            </w:pPr>
            <w:r w:rsidRPr="00DF3B44">
              <w:rPr>
                <w:rFonts w:ascii="宋体" w:eastAsia="宋体" w:hAnsi="宋体" w:cs="宋体" w:hint="eastAsia"/>
                <w:color w:val="000000"/>
                <w:spacing w:val="10"/>
                <w:kern w:val="0"/>
                <w:szCs w:val="21"/>
              </w:rPr>
              <w:t>尊敬的委托人：</w:t>
            </w:r>
          </w:p>
          <w:p w:rsidR="00DF3B44" w:rsidRPr="00DF3B44" w:rsidRDefault="00DF3B44" w:rsidP="00DF3B44">
            <w:pPr>
              <w:widowControl/>
              <w:rPr>
                <w:rFonts w:ascii="宋体" w:eastAsia="宋体" w:hAnsi="宋体" w:cs="宋体" w:hint="eastAsia"/>
                <w:color w:val="000000"/>
                <w:spacing w:val="14"/>
                <w:kern w:val="0"/>
                <w:sz w:val="18"/>
                <w:szCs w:val="18"/>
              </w:rPr>
            </w:pPr>
            <w:r w:rsidRPr="00DF3B44">
              <w:rPr>
                <w:rFonts w:ascii="宋体" w:eastAsia="宋体" w:hAnsi="宋体" w:cs="宋体" w:hint="eastAsia"/>
                <w:color w:val="000000"/>
                <w:spacing w:val="10"/>
                <w:kern w:val="0"/>
                <w:szCs w:val="21"/>
              </w:rPr>
              <w:t>    “华润信托·东源嘉盈3期集合资金信托计划”（以下简称“本信托计划”）已达到信托合同约定的成立条件，于2014年1月28日成立，本信托计划期限为2年，可提前终止。受托人将按照信托合同的约定进行信托计划资金的管理运用及信托利益的分配。</w:t>
            </w:r>
          </w:p>
          <w:p w:rsidR="00DF3B44" w:rsidRPr="00DF3B44" w:rsidRDefault="00DF3B44" w:rsidP="00DF3B44">
            <w:pPr>
              <w:widowControl/>
              <w:rPr>
                <w:rFonts w:ascii="宋体" w:eastAsia="宋体" w:hAnsi="宋体" w:cs="宋体" w:hint="eastAsia"/>
                <w:color w:val="000000"/>
                <w:spacing w:val="14"/>
                <w:kern w:val="0"/>
                <w:sz w:val="18"/>
                <w:szCs w:val="18"/>
              </w:rPr>
            </w:pPr>
            <w:r w:rsidRPr="00DF3B44">
              <w:rPr>
                <w:rFonts w:ascii="宋体" w:eastAsia="宋体" w:hAnsi="宋体" w:cs="宋体" w:hint="eastAsia"/>
                <w:color w:val="000000"/>
                <w:spacing w:val="10"/>
                <w:kern w:val="0"/>
                <w:szCs w:val="21"/>
              </w:rPr>
              <w:t>    本信托计划保管账户如下：</w:t>
            </w:r>
          </w:p>
          <w:p w:rsidR="00DF3B44" w:rsidRPr="00DF3B44" w:rsidRDefault="00DF3B44" w:rsidP="00DF3B44">
            <w:pPr>
              <w:widowControl/>
              <w:rPr>
                <w:rFonts w:ascii="宋体" w:eastAsia="宋体" w:hAnsi="宋体" w:cs="宋体" w:hint="eastAsia"/>
                <w:color w:val="000000"/>
                <w:spacing w:val="14"/>
                <w:kern w:val="0"/>
                <w:sz w:val="18"/>
                <w:szCs w:val="18"/>
              </w:rPr>
            </w:pPr>
            <w:r w:rsidRPr="00DF3B44">
              <w:rPr>
                <w:rFonts w:ascii="宋体" w:eastAsia="宋体" w:hAnsi="宋体" w:cs="宋体" w:hint="eastAsia"/>
                <w:color w:val="000000"/>
                <w:spacing w:val="10"/>
                <w:kern w:val="0"/>
                <w:szCs w:val="21"/>
              </w:rPr>
              <w:t>    户   名：华润深国投信托有限公司</w:t>
            </w:r>
          </w:p>
          <w:p w:rsidR="00DF3B44" w:rsidRPr="00DF3B44" w:rsidRDefault="00DF3B44" w:rsidP="00DF3B44">
            <w:pPr>
              <w:widowControl/>
              <w:rPr>
                <w:rFonts w:ascii="宋体" w:eastAsia="宋体" w:hAnsi="宋体" w:cs="宋体" w:hint="eastAsia"/>
                <w:color w:val="000000"/>
                <w:spacing w:val="14"/>
                <w:kern w:val="0"/>
                <w:sz w:val="18"/>
                <w:szCs w:val="18"/>
              </w:rPr>
            </w:pPr>
            <w:r w:rsidRPr="00DF3B44">
              <w:rPr>
                <w:rFonts w:ascii="宋体" w:eastAsia="宋体" w:hAnsi="宋体" w:cs="宋体" w:hint="eastAsia"/>
                <w:color w:val="000000"/>
                <w:spacing w:val="10"/>
                <w:kern w:val="0"/>
                <w:szCs w:val="21"/>
              </w:rPr>
              <w:t>    开户行：中国工商银行广州第一支行</w:t>
            </w:r>
          </w:p>
          <w:p w:rsidR="00DF3B44" w:rsidRPr="00DF3B44" w:rsidRDefault="00DF3B44" w:rsidP="00DF3B44">
            <w:pPr>
              <w:widowControl/>
              <w:rPr>
                <w:rFonts w:ascii="宋体" w:eastAsia="宋体" w:hAnsi="宋体" w:cs="宋体" w:hint="eastAsia"/>
                <w:color w:val="000000"/>
                <w:spacing w:val="14"/>
                <w:kern w:val="0"/>
                <w:sz w:val="18"/>
                <w:szCs w:val="18"/>
              </w:rPr>
            </w:pPr>
            <w:r w:rsidRPr="00DF3B44">
              <w:rPr>
                <w:rFonts w:ascii="宋体" w:eastAsia="宋体" w:hAnsi="宋体" w:cs="宋体" w:hint="eastAsia"/>
                <w:color w:val="000000"/>
                <w:spacing w:val="10"/>
                <w:kern w:val="0"/>
                <w:szCs w:val="21"/>
              </w:rPr>
              <w:t>    账   号：3602 0001 2920 1536 928</w:t>
            </w:r>
          </w:p>
          <w:p w:rsidR="00DF3B44" w:rsidRPr="00DF3B44" w:rsidRDefault="00DF3B44" w:rsidP="00DF3B44">
            <w:pPr>
              <w:widowControl/>
              <w:spacing w:before="14" w:after="14"/>
              <w:rPr>
                <w:rFonts w:ascii="宋体" w:eastAsia="宋体" w:hAnsi="宋体" w:cs="宋体" w:hint="eastAsia"/>
                <w:color w:val="000000"/>
                <w:spacing w:val="14"/>
                <w:kern w:val="0"/>
                <w:sz w:val="18"/>
                <w:szCs w:val="18"/>
              </w:rPr>
            </w:pPr>
            <w:r w:rsidRPr="00DF3B44">
              <w:rPr>
                <w:rFonts w:ascii="宋体" w:eastAsia="宋体" w:hAnsi="宋体" w:cs="宋体" w:hint="eastAsia"/>
                <w:color w:val="000000"/>
                <w:spacing w:val="14"/>
                <w:kern w:val="0"/>
                <w:sz w:val="18"/>
                <w:szCs w:val="18"/>
              </w:rPr>
              <w:t> </w:t>
            </w:r>
          </w:p>
          <w:p w:rsidR="00DF3B44" w:rsidRPr="00DF3B44" w:rsidRDefault="00DF3B44" w:rsidP="00DF3B44">
            <w:pPr>
              <w:widowControl/>
              <w:rPr>
                <w:rFonts w:ascii="宋体" w:eastAsia="宋体" w:hAnsi="宋体" w:cs="宋体" w:hint="eastAsia"/>
                <w:color w:val="000000"/>
                <w:spacing w:val="14"/>
                <w:kern w:val="0"/>
                <w:sz w:val="18"/>
                <w:szCs w:val="18"/>
              </w:rPr>
            </w:pPr>
            <w:r w:rsidRPr="00DF3B44">
              <w:rPr>
                <w:rFonts w:ascii="宋体" w:eastAsia="宋体" w:hAnsi="宋体" w:cs="宋体" w:hint="eastAsia"/>
                <w:color w:val="000000"/>
                <w:spacing w:val="10"/>
                <w:kern w:val="0"/>
                <w:szCs w:val="21"/>
              </w:rPr>
              <w:t>    重要提示：本信托计划并不保证赢利，亦不保证投资者本金不受损失，证券投资有风险，投资须谨慎！投资者应仔细阅读信托文件，并与投资顾问或受托人进行充分沟通，审慎做出购买决策。</w:t>
            </w:r>
          </w:p>
          <w:p w:rsidR="00DF3B44" w:rsidRPr="00DF3B44" w:rsidRDefault="00DF3B44" w:rsidP="00DF3B44">
            <w:pPr>
              <w:widowControl/>
              <w:spacing w:before="14" w:after="14"/>
              <w:rPr>
                <w:rFonts w:ascii="宋体" w:eastAsia="宋体" w:hAnsi="宋体" w:cs="宋体" w:hint="eastAsia"/>
                <w:color w:val="000000"/>
                <w:spacing w:val="14"/>
                <w:kern w:val="0"/>
                <w:sz w:val="18"/>
                <w:szCs w:val="18"/>
              </w:rPr>
            </w:pPr>
            <w:r w:rsidRPr="00DF3B44">
              <w:rPr>
                <w:rFonts w:ascii="宋体" w:eastAsia="宋体" w:hAnsi="宋体" w:cs="宋体" w:hint="eastAsia"/>
                <w:color w:val="000000"/>
                <w:spacing w:val="14"/>
                <w:kern w:val="0"/>
                <w:sz w:val="18"/>
                <w:szCs w:val="18"/>
              </w:rPr>
              <w:t> </w:t>
            </w:r>
          </w:p>
          <w:p w:rsidR="00DF3B44" w:rsidRPr="00DF3B44" w:rsidRDefault="00DF3B44" w:rsidP="00DF3B44">
            <w:pPr>
              <w:widowControl/>
              <w:rPr>
                <w:rFonts w:ascii="宋体" w:eastAsia="宋体" w:hAnsi="宋体" w:cs="宋体" w:hint="eastAsia"/>
                <w:color w:val="000000"/>
                <w:spacing w:val="14"/>
                <w:kern w:val="0"/>
                <w:sz w:val="18"/>
                <w:szCs w:val="18"/>
              </w:rPr>
            </w:pPr>
            <w:r w:rsidRPr="00DF3B44">
              <w:rPr>
                <w:rFonts w:ascii="宋体" w:eastAsia="宋体" w:hAnsi="宋体" w:cs="宋体" w:hint="eastAsia"/>
                <w:color w:val="000000"/>
                <w:spacing w:val="10"/>
                <w:kern w:val="0"/>
                <w:szCs w:val="21"/>
              </w:rPr>
              <w:t>    受托人咨询电话：400-678-8883。</w:t>
            </w:r>
          </w:p>
          <w:p w:rsidR="00DF3B44" w:rsidRPr="00DF3B44" w:rsidRDefault="00DF3B44" w:rsidP="00DF3B44">
            <w:pPr>
              <w:widowControl/>
              <w:rPr>
                <w:rFonts w:ascii="宋体" w:eastAsia="宋体" w:hAnsi="宋体" w:cs="宋体" w:hint="eastAsia"/>
                <w:color w:val="000000"/>
                <w:spacing w:val="14"/>
                <w:kern w:val="0"/>
                <w:sz w:val="18"/>
                <w:szCs w:val="18"/>
              </w:rPr>
            </w:pPr>
            <w:r w:rsidRPr="00DF3B44">
              <w:rPr>
                <w:rFonts w:ascii="宋体" w:eastAsia="宋体" w:hAnsi="宋体" w:cs="宋体" w:hint="eastAsia"/>
                <w:color w:val="000000"/>
                <w:spacing w:val="10"/>
                <w:kern w:val="0"/>
                <w:szCs w:val="21"/>
              </w:rPr>
              <w:t>    感谢您对我司的一贯支持与信任。</w:t>
            </w:r>
          </w:p>
          <w:p w:rsidR="00DF3B44" w:rsidRPr="00DF3B44" w:rsidRDefault="00DF3B44" w:rsidP="00DF3B44">
            <w:pPr>
              <w:widowControl/>
              <w:spacing w:before="14" w:after="14"/>
              <w:rPr>
                <w:rFonts w:ascii="宋体" w:eastAsia="宋体" w:hAnsi="宋体" w:cs="宋体" w:hint="eastAsia"/>
                <w:color w:val="000000"/>
                <w:spacing w:val="14"/>
                <w:kern w:val="0"/>
                <w:sz w:val="18"/>
                <w:szCs w:val="18"/>
              </w:rPr>
            </w:pPr>
            <w:r w:rsidRPr="00DF3B44">
              <w:rPr>
                <w:rFonts w:ascii="宋体" w:eastAsia="宋体" w:hAnsi="宋体" w:cs="宋体" w:hint="eastAsia"/>
                <w:color w:val="000000"/>
                <w:spacing w:val="14"/>
                <w:kern w:val="0"/>
                <w:sz w:val="18"/>
                <w:szCs w:val="18"/>
              </w:rPr>
              <w:t> </w:t>
            </w:r>
          </w:p>
          <w:p w:rsidR="00DF3B44" w:rsidRPr="00DF3B44" w:rsidRDefault="00DF3B44" w:rsidP="00DF3B44">
            <w:pPr>
              <w:widowControl/>
              <w:jc w:val="right"/>
              <w:rPr>
                <w:rFonts w:ascii="宋体" w:eastAsia="宋体" w:hAnsi="宋体" w:cs="宋体" w:hint="eastAsia"/>
                <w:color w:val="000000"/>
                <w:spacing w:val="14"/>
                <w:kern w:val="0"/>
                <w:sz w:val="18"/>
                <w:szCs w:val="18"/>
              </w:rPr>
            </w:pPr>
            <w:r w:rsidRPr="00DF3B44">
              <w:rPr>
                <w:rFonts w:ascii="宋体" w:eastAsia="宋体" w:hAnsi="宋体" w:cs="宋体" w:hint="eastAsia"/>
                <w:color w:val="000000"/>
                <w:spacing w:val="10"/>
                <w:kern w:val="0"/>
                <w:szCs w:val="21"/>
              </w:rPr>
              <w:t>华润深国投信托有限公司</w:t>
            </w:r>
          </w:p>
          <w:p w:rsidR="00DF3B44" w:rsidRPr="00DF3B44" w:rsidRDefault="00DF3B44" w:rsidP="00DF3B44">
            <w:pPr>
              <w:widowControl/>
              <w:jc w:val="right"/>
              <w:rPr>
                <w:rFonts w:ascii="宋体" w:eastAsia="宋体" w:hAnsi="宋体" w:cs="宋体"/>
                <w:color w:val="000000"/>
                <w:spacing w:val="14"/>
                <w:kern w:val="0"/>
                <w:sz w:val="18"/>
                <w:szCs w:val="18"/>
              </w:rPr>
            </w:pPr>
            <w:r w:rsidRPr="00DF3B44">
              <w:rPr>
                <w:rFonts w:ascii="宋体" w:eastAsia="宋体" w:hAnsi="宋体" w:cs="宋体" w:hint="eastAsia"/>
                <w:color w:val="000000"/>
                <w:spacing w:val="10"/>
                <w:kern w:val="0"/>
                <w:szCs w:val="21"/>
              </w:rPr>
              <w:t>2014年1月28日</w:t>
            </w:r>
          </w:p>
        </w:tc>
      </w:tr>
    </w:tbl>
    <w:p w:rsidR="003F2732" w:rsidRDefault="003F2732"/>
    <w:sectPr w:rsidR="003F273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F2732" w:rsidRDefault="003F2732" w:rsidP="00DF3B44">
      <w:r>
        <w:separator/>
      </w:r>
    </w:p>
  </w:endnote>
  <w:endnote w:type="continuationSeparator" w:id="1">
    <w:p w:rsidR="003F2732" w:rsidRDefault="003F2732" w:rsidP="00DF3B4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F2732" w:rsidRDefault="003F2732" w:rsidP="00DF3B44">
      <w:r>
        <w:separator/>
      </w:r>
    </w:p>
  </w:footnote>
  <w:footnote w:type="continuationSeparator" w:id="1">
    <w:p w:rsidR="003F2732" w:rsidRDefault="003F2732" w:rsidP="00DF3B4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F3B44"/>
    <w:rsid w:val="003F2732"/>
    <w:rsid w:val="00DF3B4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F3B4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F3B44"/>
    <w:rPr>
      <w:sz w:val="18"/>
      <w:szCs w:val="18"/>
    </w:rPr>
  </w:style>
  <w:style w:type="paragraph" w:styleId="a4">
    <w:name w:val="footer"/>
    <w:basedOn w:val="a"/>
    <w:link w:val="Char0"/>
    <w:uiPriority w:val="99"/>
    <w:semiHidden/>
    <w:unhideWhenUsed/>
    <w:rsid w:val="00DF3B4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F3B44"/>
    <w:rPr>
      <w:sz w:val="18"/>
      <w:szCs w:val="18"/>
    </w:rPr>
  </w:style>
  <w:style w:type="paragraph" w:customStyle="1" w:styleId="orb">
    <w:name w:val="or_b"/>
    <w:basedOn w:val="a"/>
    <w:rsid w:val="00DF3B44"/>
    <w:pPr>
      <w:widowControl/>
      <w:spacing w:before="100" w:beforeAutospacing="1" w:after="100" w:afterAutospacing="1"/>
      <w:jc w:val="left"/>
    </w:pPr>
    <w:rPr>
      <w:rFonts w:ascii="宋体" w:eastAsia="宋体" w:hAnsi="宋体" w:cs="宋体"/>
      <w:kern w:val="0"/>
      <w:sz w:val="24"/>
      <w:szCs w:val="24"/>
    </w:rPr>
  </w:style>
  <w:style w:type="paragraph" w:styleId="a5">
    <w:name w:val="Normal (Web)"/>
    <w:basedOn w:val="a"/>
    <w:uiPriority w:val="99"/>
    <w:unhideWhenUsed/>
    <w:rsid w:val="00DF3B44"/>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DF3B44"/>
    <w:rPr>
      <w:sz w:val="18"/>
      <w:szCs w:val="18"/>
    </w:rPr>
  </w:style>
  <w:style w:type="character" w:customStyle="1" w:styleId="Char1">
    <w:name w:val="批注框文本 Char"/>
    <w:basedOn w:val="a0"/>
    <w:link w:val="a6"/>
    <w:uiPriority w:val="99"/>
    <w:semiHidden/>
    <w:rsid w:val="00DF3B44"/>
    <w:rPr>
      <w:sz w:val="18"/>
      <w:szCs w:val="18"/>
    </w:rPr>
  </w:style>
</w:styles>
</file>

<file path=word/webSettings.xml><?xml version="1.0" encoding="utf-8"?>
<w:webSettings xmlns:r="http://schemas.openxmlformats.org/officeDocument/2006/relationships" xmlns:w="http://schemas.openxmlformats.org/wordprocessingml/2006/main">
  <w:divs>
    <w:div w:id="2042782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62</Words>
  <Characters>356</Characters>
  <Application>Microsoft Office Word</Application>
  <DocSecurity>0</DocSecurity>
  <Lines>2</Lines>
  <Paragraphs>1</Paragraphs>
  <ScaleCrop>false</ScaleCrop>
  <Company/>
  <LinksUpToDate>false</LinksUpToDate>
  <CharactersWithSpaces>417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2014-01-29T01:49:00Z</dcterms:created>
  <dcterms:modified xsi:type="dcterms:W3CDTF">2014-01-29T01:49:00Z</dcterms:modified>
</cp:coreProperties>
</file>