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133C" w:rsidRPr="003D133C" w:rsidRDefault="003D133C" w:rsidP="003D133C">
      <w:pPr>
        <w:widowControl/>
        <w:jc w:val="center"/>
        <w:rPr>
          <w:rFonts w:ascii="宋体" w:eastAsia="宋体" w:hAnsi="宋体" w:cs="宋体"/>
          <w:b/>
          <w:bCs/>
          <w:color w:val="FF8300"/>
          <w:kern w:val="0"/>
          <w:sz w:val="19"/>
          <w:szCs w:val="19"/>
        </w:rPr>
      </w:pPr>
      <w:r w:rsidRPr="003D133C">
        <w:rPr>
          <w:rFonts w:ascii="宋体" w:eastAsia="宋体" w:hAnsi="宋体" w:cs="宋体"/>
          <w:b/>
          <w:bCs/>
          <w:color w:val="FF8300"/>
          <w:kern w:val="0"/>
          <w:sz w:val="19"/>
          <w:szCs w:val="19"/>
        </w:rPr>
        <w:t>华润信托·中盛套利2期集合资金信托计划2013第四季度管理计划报告书</w:t>
      </w:r>
    </w:p>
    <w:p w:rsidR="003D133C" w:rsidRPr="003D133C" w:rsidRDefault="003D133C" w:rsidP="003D133C">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6"/>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尊敬的委托人暨受益人：</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xml:space="preserve">　　我公司于2013年10月14日发起设立了“华润信托·中盛套利2期集合资金信托计划”（以下简称“本信托计划”），并作为受托人管理本信托计划。现受托人就本信托计划的信托资金管理、运用及收益情况向委托人及受益人报告如下，并愿就本报告中所载资料的真实性、准确性和完整性负责。本报告书中的内容由本信托的受托人负责解释。</w:t>
      </w:r>
      <w:r w:rsidRPr="003D133C">
        <w:rPr>
          <w:rFonts w:ascii="宋体" w:eastAsia="宋体" w:hAnsi="宋体" w:cs="Times New Roman" w:hint="eastAsia"/>
          <w:spacing w:val="14"/>
          <w:kern w:val="0"/>
        </w:rPr>
        <w:t> </w:t>
      </w:r>
      <w:r w:rsidRPr="003D133C">
        <w:rPr>
          <w:rFonts w:ascii="宋体" w:eastAsia="宋体" w:hAnsi="宋体" w:cs="Times New Roman" w:hint="eastAsia"/>
          <w:spacing w:val="14"/>
          <w:kern w:val="0"/>
          <w:szCs w:val="21"/>
        </w:rPr>
        <w:t xml:space="preserve">　</w:t>
      </w:r>
    </w:p>
    <w:p w:rsidR="003D133C" w:rsidRPr="003D133C" w:rsidRDefault="003D133C" w:rsidP="003D133C">
      <w:pPr>
        <w:widowControl/>
        <w:spacing w:before="14" w:after="14"/>
        <w:rPr>
          <w:rFonts w:ascii="Times New Roman" w:eastAsia="宋体" w:hAnsi="Times New Roman" w:cs="Times New Roman"/>
          <w:spacing w:val="14"/>
          <w:kern w:val="0"/>
          <w:szCs w:val="21"/>
        </w:rPr>
      </w:pPr>
      <w:r w:rsidRPr="003D133C">
        <w:rPr>
          <w:rFonts w:ascii="Times New Roman" w:eastAsia="宋体" w:hAnsi="Times New Roman" w:cs="Times New Roman"/>
          <w:spacing w:val="14"/>
          <w:kern w:val="0"/>
          <w:szCs w:val="21"/>
        </w:rPr>
        <w:t> </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一、信托成立和保管账户开立情况</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本信托于2013年10月14日成立。</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本信托在保管银行开立了信托计划专用银行账户，该账户在信托计划存续期内不可撤销。</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二、信托资金运用情况</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受托人在本信托成立之后按本信托的要求将信托财产以以下方式运用：</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1）投资在上海证券交易所、深圳证券交易所或中国金融期货交易所公开挂牌交易或已经公开发行并即将公开挂牌交易的所有投资产品、银行间市场债券、基金、金融机构发行的理财产品以及中国银行业监督管理委员会许可信托产品投资的其他投资品种。</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（2）未投资的信托计划资金仅限存放于信托计划专户。</w:t>
      </w:r>
    </w:p>
    <w:p w:rsidR="003D133C" w:rsidRPr="003D133C" w:rsidRDefault="003D133C" w:rsidP="003D133C">
      <w:pPr>
        <w:widowControl/>
        <w:spacing w:before="14" w:after="14"/>
        <w:rPr>
          <w:rFonts w:ascii="Times New Roman" w:eastAsia="宋体" w:hAnsi="Times New Roman" w:cs="Times New Roman"/>
          <w:spacing w:val="14"/>
          <w:kern w:val="0"/>
          <w:szCs w:val="21"/>
        </w:rPr>
      </w:pPr>
      <w:r w:rsidRPr="003D133C">
        <w:rPr>
          <w:rFonts w:ascii="Times New Roman" w:eastAsia="宋体" w:hAnsi="Times New Roman" w:cs="Times New Roman"/>
          <w:spacing w:val="14"/>
          <w:kern w:val="0"/>
          <w:szCs w:val="21"/>
        </w:rPr>
        <w:t> </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三、信托收益情况</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1．信托计划风险监控情况</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截止到2013年12月31日收盘时，本信托计划单位净值为101.17元。</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2．信托计划利益的分配</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暂无信托利益分配情况。</w:t>
      </w:r>
    </w:p>
    <w:p w:rsidR="003D133C" w:rsidRPr="003D133C" w:rsidRDefault="003D133C" w:rsidP="003D133C">
      <w:pPr>
        <w:widowControl/>
        <w:spacing w:before="14" w:after="14"/>
        <w:rPr>
          <w:rFonts w:ascii="Times New Roman" w:eastAsia="宋体" w:hAnsi="Times New Roman" w:cs="Times New Roman"/>
          <w:spacing w:val="14"/>
          <w:kern w:val="0"/>
          <w:szCs w:val="21"/>
        </w:rPr>
      </w:pPr>
      <w:r w:rsidRPr="003D133C">
        <w:rPr>
          <w:rFonts w:ascii="Times New Roman" w:eastAsia="宋体" w:hAnsi="Times New Roman" w:cs="Times New Roman"/>
          <w:spacing w:val="14"/>
          <w:kern w:val="0"/>
          <w:szCs w:val="21"/>
        </w:rPr>
        <w:t> </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w:t>
      </w:r>
      <w:r w:rsidRPr="003D133C">
        <w:rPr>
          <w:rFonts w:ascii="宋体" w:eastAsia="宋体" w:hAnsi="宋体" w:cs="Times New Roman" w:hint="eastAsia"/>
          <w:spacing w:val="14"/>
          <w:kern w:val="0"/>
        </w:rPr>
        <w:t> </w:t>
      </w:r>
      <w:r w:rsidRPr="003D133C">
        <w:rPr>
          <w:rFonts w:ascii="宋体" w:eastAsia="宋体" w:hAnsi="宋体" w:cs="Times New Roman" w:hint="eastAsia"/>
          <w:spacing w:val="14"/>
          <w:kern w:val="0"/>
          <w:szCs w:val="21"/>
        </w:rPr>
        <w:t>四、重大事项披露</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见公司其他公告信息</w:t>
      </w:r>
      <w:r w:rsidRPr="003D133C">
        <w:rPr>
          <w:rFonts w:ascii="宋体" w:eastAsia="宋体" w:hAnsi="宋体" w:cs="Times New Roman" w:hint="eastAsia"/>
          <w:spacing w:val="14"/>
          <w:kern w:val="0"/>
        </w:rPr>
        <w:t> </w:t>
      </w:r>
      <w:r w:rsidRPr="003D133C">
        <w:rPr>
          <w:rFonts w:ascii="宋体" w:eastAsia="宋体" w:hAnsi="宋体" w:cs="Times New Roman" w:hint="eastAsia"/>
          <w:spacing w:val="14"/>
          <w:kern w:val="0"/>
          <w:szCs w:val="21"/>
        </w:rPr>
        <w:t>。</w:t>
      </w:r>
    </w:p>
    <w:p w:rsidR="003D133C" w:rsidRPr="003D133C" w:rsidRDefault="003D133C" w:rsidP="003D133C">
      <w:pPr>
        <w:widowControl/>
        <w:spacing w:before="14" w:after="14"/>
        <w:rPr>
          <w:rFonts w:ascii="Times New Roman" w:eastAsia="宋体" w:hAnsi="Times New Roman" w:cs="Times New Roman"/>
          <w:spacing w:val="14"/>
          <w:kern w:val="0"/>
          <w:szCs w:val="21"/>
        </w:rPr>
      </w:pPr>
      <w:r w:rsidRPr="003D133C">
        <w:rPr>
          <w:rFonts w:ascii="Times New Roman" w:eastAsia="宋体" w:hAnsi="Times New Roman" w:cs="Times New Roman"/>
          <w:spacing w:val="14"/>
          <w:kern w:val="0"/>
          <w:szCs w:val="21"/>
        </w:rPr>
        <w:t> </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提示：本信托并不保证投资者本金不受损失，证券投资有风险，投资须谨慎！投资者在做出购买决策前，应仔细阅读信托文件，并与投资顾问或受托人进行充分沟通。</w:t>
      </w:r>
    </w:p>
    <w:p w:rsidR="003D133C" w:rsidRPr="003D133C" w:rsidRDefault="003D133C" w:rsidP="003D133C">
      <w:pPr>
        <w:widowControl/>
        <w:spacing w:before="14" w:after="14"/>
        <w:rPr>
          <w:rFonts w:ascii="Times New Roman" w:eastAsia="宋体" w:hAnsi="Times New Roman" w:cs="Times New Roman"/>
          <w:spacing w:val="14"/>
          <w:kern w:val="0"/>
          <w:szCs w:val="21"/>
        </w:rPr>
      </w:pPr>
      <w:r w:rsidRPr="003D133C">
        <w:rPr>
          <w:rFonts w:ascii="Times New Roman" w:eastAsia="宋体" w:hAnsi="Times New Roman" w:cs="Times New Roman"/>
          <w:spacing w:val="14"/>
          <w:kern w:val="0"/>
          <w:szCs w:val="21"/>
        </w:rPr>
        <w:t> </w:t>
      </w:r>
    </w:p>
    <w:p w:rsidR="003D133C" w:rsidRPr="003D133C" w:rsidRDefault="003D133C" w:rsidP="003D133C">
      <w:pPr>
        <w:widowControl/>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    特此公告。</w:t>
      </w:r>
    </w:p>
    <w:p w:rsidR="003D133C" w:rsidRPr="003D133C" w:rsidRDefault="003D133C" w:rsidP="003D133C">
      <w:pPr>
        <w:widowControl/>
        <w:spacing w:before="14" w:after="14"/>
        <w:rPr>
          <w:rFonts w:ascii="Times New Roman" w:eastAsia="宋体" w:hAnsi="Times New Roman" w:cs="Times New Roman"/>
          <w:spacing w:val="14"/>
          <w:kern w:val="0"/>
          <w:szCs w:val="21"/>
        </w:rPr>
      </w:pPr>
      <w:r w:rsidRPr="003D133C">
        <w:rPr>
          <w:rFonts w:ascii="Times New Roman" w:eastAsia="宋体" w:hAnsi="Times New Roman" w:cs="Times New Roman"/>
          <w:spacing w:val="14"/>
          <w:kern w:val="0"/>
          <w:szCs w:val="21"/>
        </w:rPr>
        <w:t> </w:t>
      </w:r>
    </w:p>
    <w:p w:rsidR="003D133C" w:rsidRPr="003D133C" w:rsidRDefault="003D133C" w:rsidP="003D133C">
      <w:pPr>
        <w:widowControl/>
        <w:jc w:val="right"/>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华润深国投信托有限公司</w:t>
      </w:r>
    </w:p>
    <w:p w:rsidR="003D133C" w:rsidRPr="003D133C" w:rsidRDefault="003D133C" w:rsidP="003D133C">
      <w:pPr>
        <w:widowControl/>
        <w:jc w:val="right"/>
        <w:rPr>
          <w:rFonts w:ascii="Times New Roman" w:eastAsia="宋体" w:hAnsi="Times New Roman" w:cs="Times New Roman"/>
          <w:spacing w:val="14"/>
          <w:kern w:val="0"/>
          <w:szCs w:val="21"/>
        </w:rPr>
      </w:pPr>
      <w:r w:rsidRPr="003D133C">
        <w:rPr>
          <w:rFonts w:ascii="宋体" w:eastAsia="宋体" w:hAnsi="宋体" w:cs="Times New Roman" w:hint="eastAsia"/>
          <w:spacing w:val="14"/>
          <w:kern w:val="0"/>
          <w:szCs w:val="21"/>
        </w:rPr>
        <w:t>2013年12月31日</w:t>
      </w:r>
    </w:p>
    <w:p w:rsidR="00A80CD1" w:rsidRDefault="00A80CD1"/>
    <w:sectPr w:rsidR="00A80CD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0CD1" w:rsidRDefault="00A80CD1" w:rsidP="003D133C">
      <w:r>
        <w:separator/>
      </w:r>
    </w:p>
  </w:endnote>
  <w:endnote w:type="continuationSeparator" w:id="1">
    <w:p w:rsidR="00A80CD1" w:rsidRDefault="00A80CD1" w:rsidP="003D133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0CD1" w:rsidRDefault="00A80CD1" w:rsidP="003D133C">
      <w:r>
        <w:separator/>
      </w:r>
    </w:p>
  </w:footnote>
  <w:footnote w:type="continuationSeparator" w:id="1">
    <w:p w:rsidR="00A80CD1" w:rsidRDefault="00A80CD1" w:rsidP="003D133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D133C"/>
    <w:rsid w:val="003D133C"/>
    <w:rsid w:val="00A80C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D133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D133C"/>
    <w:rPr>
      <w:sz w:val="18"/>
      <w:szCs w:val="18"/>
    </w:rPr>
  </w:style>
  <w:style w:type="paragraph" w:styleId="a4">
    <w:name w:val="footer"/>
    <w:basedOn w:val="a"/>
    <w:link w:val="Char0"/>
    <w:uiPriority w:val="99"/>
    <w:semiHidden/>
    <w:unhideWhenUsed/>
    <w:rsid w:val="003D133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D133C"/>
    <w:rPr>
      <w:sz w:val="18"/>
      <w:szCs w:val="18"/>
    </w:rPr>
  </w:style>
  <w:style w:type="paragraph" w:customStyle="1" w:styleId="orb">
    <w:name w:val="or_b"/>
    <w:basedOn w:val="a"/>
    <w:rsid w:val="003D133C"/>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3D133C"/>
  </w:style>
  <w:style w:type="paragraph" w:styleId="a5">
    <w:name w:val="Balloon Text"/>
    <w:basedOn w:val="a"/>
    <w:link w:val="Char1"/>
    <w:uiPriority w:val="99"/>
    <w:semiHidden/>
    <w:unhideWhenUsed/>
    <w:rsid w:val="003D133C"/>
    <w:rPr>
      <w:sz w:val="18"/>
      <w:szCs w:val="18"/>
    </w:rPr>
  </w:style>
  <w:style w:type="character" w:customStyle="1" w:styleId="Char1">
    <w:name w:val="批注框文本 Char"/>
    <w:basedOn w:val="a0"/>
    <w:link w:val="a5"/>
    <w:uiPriority w:val="99"/>
    <w:semiHidden/>
    <w:rsid w:val="003D133C"/>
    <w:rPr>
      <w:sz w:val="18"/>
      <w:szCs w:val="18"/>
    </w:rPr>
  </w:style>
</w:styles>
</file>

<file path=word/webSettings.xml><?xml version="1.0" encoding="utf-8"?>
<w:webSettings xmlns:r="http://schemas.openxmlformats.org/officeDocument/2006/relationships" xmlns:w="http://schemas.openxmlformats.org/wordprocessingml/2006/main">
  <w:divs>
    <w:div w:id="448819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111</Words>
  <Characters>638</Characters>
  <Application>Microsoft Office Word</Application>
  <DocSecurity>0</DocSecurity>
  <Lines>5</Lines>
  <Paragraphs>1</Paragraphs>
  <ScaleCrop>false</ScaleCrop>
  <Company/>
  <LinksUpToDate>false</LinksUpToDate>
  <CharactersWithSpaces>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2014-02-08T02:11:00Z</dcterms:created>
  <dcterms:modified xsi:type="dcterms:W3CDTF">2014-02-08T02:11:00Z</dcterms:modified>
</cp:coreProperties>
</file>