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2D9E" w:rsidRPr="00962D9E" w:rsidRDefault="00962D9E" w:rsidP="00962D9E">
      <w:pPr>
        <w:widowControl/>
        <w:shd w:val="clear" w:color="auto" w:fill="FFFFFF"/>
        <w:jc w:val="center"/>
        <w:rPr>
          <w:rFonts w:ascii="微软雅黑" w:eastAsia="微软雅黑" w:hAnsi="微软雅黑" w:cs="宋体"/>
          <w:color w:val="988036"/>
          <w:kern w:val="0"/>
          <w:sz w:val="33"/>
          <w:szCs w:val="33"/>
        </w:rPr>
      </w:pPr>
      <w:r w:rsidRPr="00962D9E">
        <w:rPr>
          <w:rFonts w:ascii="微软雅黑" w:eastAsia="微软雅黑" w:hAnsi="微软雅黑" w:cs="宋体" w:hint="eastAsia"/>
          <w:color w:val="988036"/>
          <w:kern w:val="0"/>
          <w:sz w:val="33"/>
          <w:szCs w:val="33"/>
        </w:rPr>
        <w:t>粤财信托·私募精选1期集合资金信托计划2013年第4季度管理报告</w:t>
      </w:r>
    </w:p>
    <w:p w:rsidR="00962D9E" w:rsidRPr="00962D9E" w:rsidRDefault="00962D9E" w:rsidP="00962D9E">
      <w:pPr>
        <w:widowControl/>
        <w:shd w:val="clear" w:color="auto" w:fill="EEEEEE"/>
        <w:spacing w:line="14"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16"/>
          <w:szCs w:val="16"/>
        </w:rPr>
        <w:t> </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b/>
          <w:bCs/>
          <w:color w:val="333333"/>
          <w:kern w:val="0"/>
          <w:sz w:val="22"/>
        </w:rPr>
        <w:t>一、重要提示</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b/>
          <w:bCs/>
          <w:color w:val="333333"/>
          <w:kern w:val="0"/>
          <w:sz w:val="22"/>
        </w:rPr>
        <w:t xml:space="preserve">　　</w:t>
      </w:r>
      <w:r w:rsidRPr="00962D9E">
        <w:rPr>
          <w:rFonts w:ascii="微软雅黑" w:eastAsia="微软雅黑" w:hAnsi="微软雅黑" w:cs="宋体" w:hint="eastAsia"/>
          <w:color w:val="333333"/>
          <w:kern w:val="0"/>
          <w:sz w:val="22"/>
        </w:rPr>
        <w:t>本信托计划的保管人为兴业银行股份有限公司，保管人已复核了本报告中的估值日净值等内容，保证复核内容不存在虚假记载、误导性陈述或者重大遗漏。</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受托人承诺以诚实信用、勤勉尽责的原则管理和运用信托资产，但不保证信托财产一定盈利。</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本信托计划的过往业绩并不代表其未来表现。证券投资有风险，投资者在做出投资决策前应仔细阅读本信托计划说明书。</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本报告期为2013年10月1日起至2013年12月31日止。</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b/>
          <w:bCs/>
          <w:color w:val="333333"/>
          <w:kern w:val="0"/>
          <w:sz w:val="22"/>
        </w:rPr>
        <w:t>二、信托项目概况</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1、项目名称：粤财信托·私募精选1期集合资金信托计划；</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2、信托期限：不设定固定期限；</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3、投资范围：根据委托人的指定，本信托计划成立后，信托财产全部用于申购广东粤财信托有限公司担任受托人、广东瑞天投资管理有限公司担任投资顾问的“粤财信托?瑞天价值成长证券投资集合资金信托计划”。</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粤财信托?瑞天价值成长证券投资集合资金信托计划”成立于2008年7月7日，主要投资在上海证券交易所或深圳证券交易所公开挂牌交易或已经公开发行并即将公开挂牌交易的所有投资产品、银行间投资品种（如银行间债券、中央银行票据等）以及中国证券业监督管理委员会许可发行的基金当前和未来可以投资的其他所有投资品种。</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本信托计划不直接投资于证券二级市场。剩余资金仅限存放于信托计划专用银行账户；</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4、估值日/开放日：每月的最后一个工作日；</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5、受托人：广东粤财信托有限公司；</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6、保管人：兴业银行股份有限公司；</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b/>
          <w:bCs/>
          <w:color w:val="333333"/>
          <w:kern w:val="0"/>
          <w:sz w:val="22"/>
        </w:rPr>
        <w:t>三、投资状况</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信托计划于2011年3月30日成立，本信托计划99.99%的资金用于申购</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广东粤财信托有限公司担任受托人、广东瑞天投资管理有限公司担任投资顾问的“粤财信托?瑞天价值成长证券投资集合资金信托计划”。</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截至2013年12月31日，本信托计划总份额为19,000,000.00份,信托计划总资产净值为18,894,209.95元。</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b/>
          <w:bCs/>
          <w:color w:val="333333"/>
          <w:kern w:val="0"/>
          <w:sz w:val="22"/>
        </w:rPr>
        <w:t>四、报告期内业绩表现</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b/>
          <w:bCs/>
          <w:color w:val="333333"/>
          <w:kern w:val="0"/>
          <w:sz w:val="22"/>
        </w:rPr>
        <w:t>（一）区间业绩表现</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从估值日准确净值来看，2013年12月31日产品单位净值为0.7954元，</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较上一报告期最后一个估值日上涨5.90%，同期沪深300指数下跌3.28%，产品净值表现好于同期沪深300指数表现。</w:t>
      </w:r>
    </w:p>
    <w:p w:rsidR="00962D9E" w:rsidRPr="00962D9E" w:rsidRDefault="00962D9E" w:rsidP="00962D9E">
      <w:pPr>
        <w:widowControl/>
        <w:shd w:val="clear" w:color="auto" w:fill="FFFFFF"/>
        <w:spacing w:line="340" w:lineRule="atLeast"/>
        <w:jc w:val="center"/>
        <w:rPr>
          <w:rFonts w:ascii="微软雅黑" w:eastAsia="微软雅黑" w:hAnsi="微软雅黑" w:cs="宋体" w:hint="eastAsia"/>
          <w:color w:val="333333"/>
          <w:kern w:val="0"/>
          <w:sz w:val="16"/>
          <w:szCs w:val="16"/>
        </w:rPr>
      </w:pPr>
      <w:r w:rsidRPr="00962D9E">
        <w:rPr>
          <w:rFonts w:ascii="楷体_GB2312" w:eastAsia="楷体_GB2312" w:hAnsi="微软雅黑" w:cs="宋体" w:hint="eastAsia"/>
          <w:color w:val="333333"/>
          <w:kern w:val="0"/>
          <w:sz w:val="18"/>
          <w:szCs w:val="18"/>
        </w:rPr>
        <w:t>表1：信托计划区间业绩表现</w:t>
      </w:r>
    </w:p>
    <w:tbl>
      <w:tblPr>
        <w:tblW w:w="0" w:type="auto"/>
        <w:jc w:val="center"/>
        <w:tblCellMar>
          <w:left w:w="0" w:type="dxa"/>
          <w:right w:w="0" w:type="dxa"/>
        </w:tblCellMar>
        <w:tblLook w:val="04A0"/>
      </w:tblPr>
      <w:tblGrid>
        <w:gridCol w:w="2123"/>
        <w:gridCol w:w="2124"/>
        <w:gridCol w:w="2124"/>
        <w:gridCol w:w="2125"/>
      </w:tblGrid>
      <w:tr w:rsidR="00962D9E" w:rsidRPr="00962D9E" w:rsidTr="00962D9E">
        <w:trPr>
          <w:trHeight w:val="15"/>
          <w:jc w:val="center"/>
        </w:trPr>
        <w:tc>
          <w:tcPr>
            <w:tcW w:w="2130" w:type="dxa"/>
            <w:tcBorders>
              <w:top w:val="single" w:sz="6" w:space="0" w:color="auto"/>
              <w:left w:val="single" w:sz="6" w:space="0" w:color="auto"/>
              <w:bottom w:val="single" w:sz="6" w:space="0" w:color="auto"/>
              <w:right w:val="single" w:sz="6" w:space="0" w:color="auto"/>
            </w:tcBorders>
            <w:shd w:val="clear" w:color="auto" w:fill="8DB3E2"/>
            <w:tcMar>
              <w:top w:w="0" w:type="dxa"/>
              <w:left w:w="95" w:type="dxa"/>
              <w:bottom w:w="0" w:type="dxa"/>
              <w:right w:w="95" w:type="dxa"/>
            </w:tcMar>
            <w:vAlign w:val="center"/>
            <w:hideMark/>
          </w:tcPr>
          <w:p w:rsidR="00962D9E" w:rsidRPr="00962D9E" w:rsidRDefault="00962D9E" w:rsidP="00962D9E">
            <w:pPr>
              <w:widowControl/>
              <w:spacing w:line="15" w:lineRule="atLeast"/>
              <w:jc w:val="left"/>
              <w:rPr>
                <w:rFonts w:ascii="微软雅黑" w:eastAsia="微软雅黑" w:hAnsi="微软雅黑" w:cs="宋体"/>
                <w:kern w:val="0"/>
                <w:sz w:val="16"/>
                <w:szCs w:val="16"/>
              </w:rPr>
            </w:pPr>
            <w:r w:rsidRPr="00962D9E">
              <w:rPr>
                <w:rFonts w:ascii="微软雅黑" w:eastAsia="微软雅黑" w:hAnsi="微软雅黑" w:cs="宋体" w:hint="eastAsia"/>
                <w:kern w:val="0"/>
                <w:sz w:val="22"/>
              </w:rPr>
              <w:t>项目</w:t>
            </w:r>
          </w:p>
        </w:tc>
        <w:tc>
          <w:tcPr>
            <w:tcW w:w="2130" w:type="dxa"/>
            <w:tcBorders>
              <w:top w:val="single" w:sz="6" w:space="0" w:color="auto"/>
              <w:left w:val="nil"/>
              <w:bottom w:val="single" w:sz="6" w:space="0" w:color="auto"/>
              <w:right w:val="single" w:sz="6" w:space="0" w:color="auto"/>
            </w:tcBorders>
            <w:shd w:val="clear" w:color="auto" w:fill="8DB3E2"/>
            <w:tcMar>
              <w:top w:w="0" w:type="dxa"/>
              <w:left w:w="95" w:type="dxa"/>
              <w:bottom w:w="0" w:type="dxa"/>
              <w:right w:w="95" w:type="dxa"/>
            </w:tcMar>
            <w:vAlign w:val="center"/>
            <w:hideMark/>
          </w:tcPr>
          <w:p w:rsidR="00962D9E" w:rsidRPr="00962D9E" w:rsidRDefault="00962D9E" w:rsidP="00962D9E">
            <w:pPr>
              <w:widowControl/>
              <w:spacing w:line="15" w:lineRule="atLeast"/>
              <w:jc w:val="left"/>
              <w:rPr>
                <w:rFonts w:ascii="微软雅黑" w:eastAsia="微软雅黑" w:hAnsi="微软雅黑" w:cs="宋体"/>
                <w:kern w:val="0"/>
                <w:sz w:val="16"/>
                <w:szCs w:val="16"/>
              </w:rPr>
            </w:pPr>
            <w:r w:rsidRPr="00962D9E">
              <w:rPr>
                <w:rFonts w:ascii="微软雅黑" w:eastAsia="微软雅黑" w:hAnsi="微软雅黑" w:cs="宋体" w:hint="eastAsia"/>
                <w:kern w:val="0"/>
                <w:sz w:val="22"/>
              </w:rPr>
              <w:t>最近一个月</w:t>
            </w:r>
          </w:p>
        </w:tc>
        <w:tc>
          <w:tcPr>
            <w:tcW w:w="2130" w:type="dxa"/>
            <w:tcBorders>
              <w:top w:val="single" w:sz="6" w:space="0" w:color="auto"/>
              <w:left w:val="nil"/>
              <w:bottom w:val="single" w:sz="6" w:space="0" w:color="auto"/>
              <w:right w:val="single" w:sz="6" w:space="0" w:color="auto"/>
            </w:tcBorders>
            <w:shd w:val="clear" w:color="auto" w:fill="8DB3E2"/>
            <w:tcMar>
              <w:top w:w="0" w:type="dxa"/>
              <w:left w:w="95" w:type="dxa"/>
              <w:bottom w:w="0" w:type="dxa"/>
              <w:right w:w="95" w:type="dxa"/>
            </w:tcMar>
            <w:vAlign w:val="center"/>
            <w:hideMark/>
          </w:tcPr>
          <w:p w:rsidR="00962D9E" w:rsidRPr="00962D9E" w:rsidRDefault="00962D9E" w:rsidP="00962D9E">
            <w:pPr>
              <w:widowControl/>
              <w:spacing w:line="15" w:lineRule="atLeast"/>
              <w:jc w:val="left"/>
              <w:rPr>
                <w:rFonts w:ascii="微软雅黑" w:eastAsia="微软雅黑" w:hAnsi="微软雅黑" w:cs="宋体"/>
                <w:kern w:val="0"/>
                <w:sz w:val="16"/>
                <w:szCs w:val="16"/>
              </w:rPr>
            </w:pPr>
            <w:r w:rsidRPr="00962D9E">
              <w:rPr>
                <w:rFonts w:ascii="微软雅黑" w:eastAsia="微软雅黑" w:hAnsi="微软雅黑" w:cs="宋体" w:hint="eastAsia"/>
                <w:kern w:val="0"/>
                <w:sz w:val="22"/>
              </w:rPr>
              <w:t>最近3个月</w:t>
            </w:r>
          </w:p>
        </w:tc>
        <w:tc>
          <w:tcPr>
            <w:tcW w:w="2130" w:type="dxa"/>
            <w:tcBorders>
              <w:top w:val="single" w:sz="6" w:space="0" w:color="auto"/>
              <w:left w:val="nil"/>
              <w:bottom w:val="single" w:sz="6" w:space="0" w:color="auto"/>
              <w:right w:val="single" w:sz="6" w:space="0" w:color="auto"/>
            </w:tcBorders>
            <w:shd w:val="clear" w:color="auto" w:fill="8DB3E2"/>
            <w:tcMar>
              <w:top w:w="0" w:type="dxa"/>
              <w:left w:w="95" w:type="dxa"/>
              <w:bottom w:w="0" w:type="dxa"/>
              <w:right w:w="95" w:type="dxa"/>
            </w:tcMar>
            <w:vAlign w:val="center"/>
            <w:hideMark/>
          </w:tcPr>
          <w:p w:rsidR="00962D9E" w:rsidRPr="00962D9E" w:rsidRDefault="00962D9E" w:rsidP="00962D9E">
            <w:pPr>
              <w:widowControl/>
              <w:spacing w:line="15" w:lineRule="atLeast"/>
              <w:jc w:val="left"/>
              <w:rPr>
                <w:rFonts w:ascii="微软雅黑" w:eastAsia="微软雅黑" w:hAnsi="微软雅黑" w:cs="宋体"/>
                <w:kern w:val="0"/>
                <w:sz w:val="16"/>
                <w:szCs w:val="16"/>
              </w:rPr>
            </w:pPr>
            <w:r w:rsidRPr="00962D9E">
              <w:rPr>
                <w:rFonts w:ascii="微软雅黑" w:eastAsia="微软雅黑" w:hAnsi="微软雅黑" w:cs="宋体" w:hint="eastAsia"/>
                <w:kern w:val="0"/>
                <w:sz w:val="22"/>
              </w:rPr>
              <w:t>最近6个月</w:t>
            </w:r>
          </w:p>
        </w:tc>
      </w:tr>
      <w:tr w:rsidR="00962D9E" w:rsidRPr="00962D9E" w:rsidTr="00962D9E">
        <w:trPr>
          <w:trHeight w:val="15"/>
          <w:jc w:val="center"/>
        </w:trPr>
        <w:tc>
          <w:tcPr>
            <w:tcW w:w="2130" w:type="dxa"/>
            <w:tcBorders>
              <w:top w:val="nil"/>
              <w:left w:val="single" w:sz="6" w:space="0" w:color="auto"/>
              <w:bottom w:val="single" w:sz="6" w:space="0" w:color="auto"/>
              <w:right w:val="single" w:sz="6" w:space="0" w:color="auto"/>
            </w:tcBorders>
            <w:shd w:val="clear" w:color="auto" w:fill="FFFF99"/>
            <w:tcMar>
              <w:top w:w="0" w:type="dxa"/>
              <w:left w:w="95" w:type="dxa"/>
              <w:bottom w:w="0" w:type="dxa"/>
              <w:right w:w="95" w:type="dxa"/>
            </w:tcMar>
            <w:vAlign w:val="center"/>
            <w:hideMark/>
          </w:tcPr>
          <w:p w:rsidR="00962D9E" w:rsidRPr="00962D9E" w:rsidRDefault="00962D9E" w:rsidP="00962D9E">
            <w:pPr>
              <w:widowControl/>
              <w:spacing w:line="15" w:lineRule="atLeast"/>
              <w:jc w:val="left"/>
              <w:rPr>
                <w:rFonts w:ascii="微软雅黑" w:eastAsia="微软雅黑" w:hAnsi="微软雅黑" w:cs="宋体"/>
                <w:kern w:val="0"/>
                <w:sz w:val="16"/>
                <w:szCs w:val="16"/>
              </w:rPr>
            </w:pPr>
            <w:r w:rsidRPr="00962D9E">
              <w:rPr>
                <w:rFonts w:ascii="微软雅黑" w:eastAsia="微软雅黑" w:hAnsi="微软雅黑" w:cs="宋体" w:hint="eastAsia"/>
                <w:kern w:val="0"/>
                <w:sz w:val="22"/>
              </w:rPr>
              <w:t>私募精选1期</w:t>
            </w:r>
          </w:p>
        </w:tc>
        <w:tc>
          <w:tcPr>
            <w:tcW w:w="2130" w:type="dxa"/>
            <w:tcBorders>
              <w:top w:val="nil"/>
              <w:left w:val="nil"/>
              <w:bottom w:val="single" w:sz="6" w:space="0" w:color="auto"/>
              <w:right w:val="single" w:sz="6" w:space="0" w:color="auto"/>
            </w:tcBorders>
            <w:shd w:val="clear" w:color="auto" w:fill="FFFF99"/>
            <w:tcMar>
              <w:top w:w="0" w:type="dxa"/>
              <w:left w:w="95" w:type="dxa"/>
              <w:bottom w:w="0" w:type="dxa"/>
              <w:right w:w="95" w:type="dxa"/>
            </w:tcMar>
            <w:vAlign w:val="center"/>
            <w:hideMark/>
          </w:tcPr>
          <w:p w:rsidR="00962D9E" w:rsidRPr="00962D9E" w:rsidRDefault="00962D9E" w:rsidP="00962D9E">
            <w:pPr>
              <w:widowControl/>
              <w:spacing w:line="15" w:lineRule="atLeast"/>
              <w:jc w:val="left"/>
              <w:rPr>
                <w:rFonts w:ascii="微软雅黑" w:eastAsia="微软雅黑" w:hAnsi="微软雅黑" w:cs="宋体"/>
                <w:kern w:val="0"/>
                <w:sz w:val="16"/>
                <w:szCs w:val="16"/>
              </w:rPr>
            </w:pPr>
            <w:r w:rsidRPr="00962D9E">
              <w:rPr>
                <w:rFonts w:ascii="微软雅黑" w:eastAsia="微软雅黑" w:hAnsi="微软雅黑" w:cs="宋体" w:hint="eastAsia"/>
                <w:kern w:val="0"/>
                <w:sz w:val="22"/>
              </w:rPr>
              <w:t>-2.96%</w:t>
            </w:r>
          </w:p>
        </w:tc>
        <w:tc>
          <w:tcPr>
            <w:tcW w:w="2130" w:type="dxa"/>
            <w:tcBorders>
              <w:top w:val="nil"/>
              <w:left w:val="nil"/>
              <w:bottom w:val="single" w:sz="6" w:space="0" w:color="auto"/>
              <w:right w:val="single" w:sz="6" w:space="0" w:color="auto"/>
            </w:tcBorders>
            <w:shd w:val="clear" w:color="auto" w:fill="FFFF99"/>
            <w:tcMar>
              <w:top w:w="0" w:type="dxa"/>
              <w:left w:w="95" w:type="dxa"/>
              <w:bottom w:w="0" w:type="dxa"/>
              <w:right w:w="95" w:type="dxa"/>
            </w:tcMar>
            <w:vAlign w:val="center"/>
            <w:hideMark/>
          </w:tcPr>
          <w:p w:rsidR="00962D9E" w:rsidRPr="00962D9E" w:rsidRDefault="00962D9E" w:rsidP="00962D9E">
            <w:pPr>
              <w:widowControl/>
              <w:spacing w:line="15" w:lineRule="atLeast"/>
              <w:jc w:val="left"/>
              <w:rPr>
                <w:rFonts w:ascii="微软雅黑" w:eastAsia="微软雅黑" w:hAnsi="微软雅黑" w:cs="宋体"/>
                <w:kern w:val="0"/>
                <w:sz w:val="16"/>
                <w:szCs w:val="16"/>
              </w:rPr>
            </w:pPr>
            <w:r w:rsidRPr="00962D9E">
              <w:rPr>
                <w:rFonts w:ascii="微软雅黑" w:eastAsia="微软雅黑" w:hAnsi="微软雅黑" w:cs="宋体" w:hint="eastAsia"/>
                <w:kern w:val="0"/>
                <w:sz w:val="22"/>
              </w:rPr>
              <w:t>5.90%</w:t>
            </w:r>
          </w:p>
        </w:tc>
        <w:tc>
          <w:tcPr>
            <w:tcW w:w="2130" w:type="dxa"/>
            <w:tcBorders>
              <w:top w:val="nil"/>
              <w:left w:val="nil"/>
              <w:bottom w:val="single" w:sz="6" w:space="0" w:color="auto"/>
              <w:right w:val="single" w:sz="6" w:space="0" w:color="auto"/>
            </w:tcBorders>
            <w:shd w:val="clear" w:color="auto" w:fill="FFFF99"/>
            <w:tcMar>
              <w:top w:w="0" w:type="dxa"/>
              <w:left w:w="95" w:type="dxa"/>
              <w:bottom w:w="0" w:type="dxa"/>
              <w:right w:w="95" w:type="dxa"/>
            </w:tcMar>
            <w:vAlign w:val="center"/>
            <w:hideMark/>
          </w:tcPr>
          <w:p w:rsidR="00962D9E" w:rsidRPr="00962D9E" w:rsidRDefault="00962D9E" w:rsidP="00962D9E">
            <w:pPr>
              <w:widowControl/>
              <w:spacing w:line="15" w:lineRule="atLeast"/>
              <w:jc w:val="left"/>
              <w:rPr>
                <w:rFonts w:ascii="微软雅黑" w:eastAsia="微软雅黑" w:hAnsi="微软雅黑" w:cs="宋体"/>
                <w:kern w:val="0"/>
                <w:sz w:val="16"/>
                <w:szCs w:val="16"/>
              </w:rPr>
            </w:pPr>
            <w:r w:rsidRPr="00962D9E">
              <w:rPr>
                <w:rFonts w:ascii="微软雅黑" w:eastAsia="微软雅黑" w:hAnsi="微软雅黑" w:cs="宋体" w:hint="eastAsia"/>
                <w:kern w:val="0"/>
                <w:sz w:val="22"/>
              </w:rPr>
              <w:t>25.46%</w:t>
            </w:r>
          </w:p>
        </w:tc>
      </w:tr>
      <w:tr w:rsidR="00962D9E" w:rsidRPr="00962D9E" w:rsidTr="00962D9E">
        <w:trPr>
          <w:trHeight w:val="15"/>
          <w:jc w:val="center"/>
        </w:trPr>
        <w:tc>
          <w:tcPr>
            <w:tcW w:w="2130" w:type="dxa"/>
            <w:tcBorders>
              <w:top w:val="nil"/>
              <w:left w:val="single" w:sz="6" w:space="0" w:color="auto"/>
              <w:bottom w:val="single" w:sz="6" w:space="0" w:color="auto"/>
              <w:right w:val="single" w:sz="6" w:space="0" w:color="auto"/>
            </w:tcBorders>
            <w:shd w:val="clear" w:color="auto" w:fill="EEECE1"/>
            <w:tcMar>
              <w:top w:w="0" w:type="dxa"/>
              <w:left w:w="95" w:type="dxa"/>
              <w:bottom w:w="0" w:type="dxa"/>
              <w:right w:w="95" w:type="dxa"/>
            </w:tcMar>
            <w:vAlign w:val="center"/>
            <w:hideMark/>
          </w:tcPr>
          <w:p w:rsidR="00962D9E" w:rsidRPr="00962D9E" w:rsidRDefault="00962D9E" w:rsidP="00962D9E">
            <w:pPr>
              <w:widowControl/>
              <w:spacing w:line="15" w:lineRule="atLeast"/>
              <w:jc w:val="left"/>
              <w:rPr>
                <w:rFonts w:ascii="微软雅黑" w:eastAsia="微软雅黑" w:hAnsi="微软雅黑" w:cs="宋体"/>
                <w:kern w:val="0"/>
                <w:sz w:val="16"/>
                <w:szCs w:val="16"/>
              </w:rPr>
            </w:pPr>
            <w:r w:rsidRPr="00962D9E">
              <w:rPr>
                <w:rFonts w:ascii="微软雅黑" w:eastAsia="微软雅黑" w:hAnsi="微软雅黑" w:cs="宋体" w:hint="eastAsia"/>
                <w:kern w:val="0"/>
                <w:sz w:val="22"/>
              </w:rPr>
              <w:t>同期沪深300</w:t>
            </w:r>
          </w:p>
        </w:tc>
        <w:tc>
          <w:tcPr>
            <w:tcW w:w="2130" w:type="dxa"/>
            <w:tcBorders>
              <w:top w:val="nil"/>
              <w:left w:val="nil"/>
              <w:bottom w:val="single" w:sz="6" w:space="0" w:color="auto"/>
              <w:right w:val="single" w:sz="6" w:space="0" w:color="auto"/>
            </w:tcBorders>
            <w:shd w:val="clear" w:color="auto" w:fill="EEECE1"/>
            <w:tcMar>
              <w:top w:w="0" w:type="dxa"/>
              <w:left w:w="95" w:type="dxa"/>
              <w:bottom w:w="0" w:type="dxa"/>
              <w:right w:w="95" w:type="dxa"/>
            </w:tcMar>
            <w:vAlign w:val="center"/>
            <w:hideMark/>
          </w:tcPr>
          <w:p w:rsidR="00962D9E" w:rsidRPr="00962D9E" w:rsidRDefault="00962D9E" w:rsidP="00962D9E">
            <w:pPr>
              <w:widowControl/>
              <w:spacing w:line="15" w:lineRule="atLeast"/>
              <w:jc w:val="left"/>
              <w:rPr>
                <w:rFonts w:ascii="微软雅黑" w:eastAsia="微软雅黑" w:hAnsi="微软雅黑" w:cs="宋体"/>
                <w:kern w:val="0"/>
                <w:sz w:val="16"/>
                <w:szCs w:val="16"/>
              </w:rPr>
            </w:pPr>
            <w:r w:rsidRPr="00962D9E">
              <w:rPr>
                <w:rFonts w:ascii="微软雅黑" w:eastAsia="微软雅黑" w:hAnsi="微软雅黑" w:cs="宋体" w:hint="eastAsia"/>
                <w:kern w:val="0"/>
                <w:sz w:val="22"/>
              </w:rPr>
              <w:t>-4.47%</w:t>
            </w:r>
          </w:p>
        </w:tc>
        <w:tc>
          <w:tcPr>
            <w:tcW w:w="2130" w:type="dxa"/>
            <w:tcBorders>
              <w:top w:val="nil"/>
              <w:left w:val="nil"/>
              <w:bottom w:val="single" w:sz="6" w:space="0" w:color="auto"/>
              <w:right w:val="single" w:sz="6" w:space="0" w:color="auto"/>
            </w:tcBorders>
            <w:shd w:val="clear" w:color="auto" w:fill="EEECE1"/>
            <w:tcMar>
              <w:top w:w="0" w:type="dxa"/>
              <w:left w:w="95" w:type="dxa"/>
              <w:bottom w:w="0" w:type="dxa"/>
              <w:right w:w="95" w:type="dxa"/>
            </w:tcMar>
            <w:vAlign w:val="center"/>
            <w:hideMark/>
          </w:tcPr>
          <w:p w:rsidR="00962D9E" w:rsidRPr="00962D9E" w:rsidRDefault="00962D9E" w:rsidP="00962D9E">
            <w:pPr>
              <w:widowControl/>
              <w:spacing w:line="15" w:lineRule="atLeast"/>
              <w:jc w:val="left"/>
              <w:rPr>
                <w:rFonts w:ascii="微软雅黑" w:eastAsia="微软雅黑" w:hAnsi="微软雅黑" w:cs="宋体"/>
                <w:kern w:val="0"/>
                <w:sz w:val="16"/>
                <w:szCs w:val="16"/>
              </w:rPr>
            </w:pPr>
            <w:r w:rsidRPr="00962D9E">
              <w:rPr>
                <w:rFonts w:ascii="微软雅黑" w:eastAsia="微软雅黑" w:hAnsi="微软雅黑" w:cs="宋体" w:hint="eastAsia"/>
                <w:kern w:val="0"/>
                <w:sz w:val="22"/>
              </w:rPr>
              <w:t>-3.28%</w:t>
            </w:r>
          </w:p>
        </w:tc>
        <w:tc>
          <w:tcPr>
            <w:tcW w:w="2130" w:type="dxa"/>
            <w:tcBorders>
              <w:top w:val="nil"/>
              <w:left w:val="nil"/>
              <w:bottom w:val="single" w:sz="6" w:space="0" w:color="auto"/>
              <w:right w:val="single" w:sz="6" w:space="0" w:color="auto"/>
            </w:tcBorders>
            <w:shd w:val="clear" w:color="auto" w:fill="EEECE1"/>
            <w:tcMar>
              <w:top w:w="0" w:type="dxa"/>
              <w:left w:w="95" w:type="dxa"/>
              <w:bottom w:w="0" w:type="dxa"/>
              <w:right w:w="95" w:type="dxa"/>
            </w:tcMar>
            <w:vAlign w:val="center"/>
            <w:hideMark/>
          </w:tcPr>
          <w:p w:rsidR="00962D9E" w:rsidRPr="00962D9E" w:rsidRDefault="00962D9E" w:rsidP="00962D9E">
            <w:pPr>
              <w:widowControl/>
              <w:spacing w:line="15" w:lineRule="atLeast"/>
              <w:jc w:val="left"/>
              <w:rPr>
                <w:rFonts w:ascii="微软雅黑" w:eastAsia="微软雅黑" w:hAnsi="微软雅黑" w:cs="宋体"/>
                <w:kern w:val="0"/>
                <w:sz w:val="16"/>
                <w:szCs w:val="16"/>
              </w:rPr>
            </w:pPr>
            <w:r w:rsidRPr="00962D9E">
              <w:rPr>
                <w:rFonts w:ascii="微软雅黑" w:eastAsia="微软雅黑" w:hAnsi="微软雅黑" w:cs="宋体" w:hint="eastAsia"/>
                <w:kern w:val="0"/>
                <w:sz w:val="22"/>
              </w:rPr>
              <w:t>5.88%</w:t>
            </w:r>
          </w:p>
        </w:tc>
      </w:tr>
    </w:tbl>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b/>
          <w:bCs/>
          <w:color w:val="333333"/>
          <w:kern w:val="0"/>
          <w:sz w:val="22"/>
        </w:rPr>
        <w:t>（二）信托计划成立以来净值增长率与沪深300指数变动率比较</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2013年12月31日净值为0.7954元，自信托计划成立以来，净值累计下跌20.46%，同期沪深300指数下跌28.44%，本信托计划的累计净值增长率表现强于沪深300指数走势。</w:t>
      </w:r>
    </w:p>
    <w:p w:rsidR="00962D9E" w:rsidRPr="00962D9E" w:rsidRDefault="00962D9E" w:rsidP="00962D9E">
      <w:pPr>
        <w:widowControl/>
        <w:shd w:val="clear" w:color="auto" w:fill="FFFFFF"/>
        <w:spacing w:line="340" w:lineRule="atLeast"/>
        <w:jc w:val="center"/>
        <w:rPr>
          <w:rFonts w:ascii="微软雅黑" w:eastAsia="微软雅黑" w:hAnsi="微软雅黑" w:cs="宋体" w:hint="eastAsia"/>
          <w:color w:val="333333"/>
          <w:kern w:val="0"/>
          <w:sz w:val="16"/>
          <w:szCs w:val="16"/>
        </w:rPr>
      </w:pPr>
      <w:r>
        <w:rPr>
          <w:rFonts w:ascii="微软雅黑" w:eastAsia="微软雅黑" w:hAnsi="微软雅黑" w:cs="宋体"/>
          <w:noProof/>
          <w:color w:val="333333"/>
          <w:kern w:val="0"/>
          <w:sz w:val="16"/>
          <w:szCs w:val="16"/>
        </w:rPr>
        <w:drawing>
          <wp:inline distT="0" distB="0" distL="0" distR="0">
            <wp:extent cx="6150610" cy="2708910"/>
            <wp:effectExtent l="19050" t="0" r="2540" b="0"/>
            <wp:docPr id="1" name="图片 1" descr="http://www.gdycxt.com/uploads/85fbfc7229d64ba4bf23b6f8a24f3b5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gdycxt.com/uploads/85fbfc7229d64ba4bf23b6f8a24f3b5f.png"/>
                    <pic:cNvPicPr>
                      <a:picLocks noChangeAspect="1" noChangeArrowheads="1"/>
                    </pic:cNvPicPr>
                  </pic:nvPicPr>
                  <pic:blipFill>
                    <a:blip r:embed="rId6"/>
                    <a:srcRect/>
                    <a:stretch>
                      <a:fillRect/>
                    </a:stretch>
                  </pic:blipFill>
                  <pic:spPr bwMode="auto">
                    <a:xfrm>
                      <a:off x="0" y="0"/>
                      <a:ext cx="6150610" cy="2708910"/>
                    </a:xfrm>
                    <a:prstGeom prst="rect">
                      <a:avLst/>
                    </a:prstGeom>
                    <a:noFill/>
                    <a:ln w="9525">
                      <a:noFill/>
                      <a:miter lim="800000"/>
                      <a:headEnd/>
                      <a:tailEnd/>
                    </a:ln>
                  </pic:spPr>
                </pic:pic>
              </a:graphicData>
            </a:graphic>
          </wp:inline>
        </w:drawing>
      </w:r>
    </w:p>
    <w:p w:rsidR="00962D9E" w:rsidRPr="00962D9E" w:rsidRDefault="00962D9E" w:rsidP="00962D9E">
      <w:pPr>
        <w:widowControl/>
        <w:shd w:val="clear" w:color="auto" w:fill="FFFFFF"/>
        <w:spacing w:line="340" w:lineRule="atLeast"/>
        <w:jc w:val="center"/>
        <w:rPr>
          <w:rFonts w:ascii="微软雅黑" w:eastAsia="微软雅黑" w:hAnsi="微软雅黑" w:cs="宋体" w:hint="eastAsia"/>
          <w:color w:val="333333"/>
          <w:kern w:val="0"/>
          <w:sz w:val="16"/>
          <w:szCs w:val="16"/>
        </w:rPr>
      </w:pPr>
      <w:r w:rsidRPr="00962D9E">
        <w:rPr>
          <w:rFonts w:ascii="楷体_GB2312" w:eastAsia="楷体_GB2312" w:hAnsi="微软雅黑" w:cs="宋体" w:hint="eastAsia"/>
          <w:color w:val="333333"/>
          <w:kern w:val="0"/>
          <w:sz w:val="18"/>
          <w:szCs w:val="18"/>
        </w:rPr>
        <w:t>注：本图中所用数据为参考净值，参考净值并非估值日准确净值，仅供委托人参考。</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b/>
          <w:bCs/>
          <w:color w:val="333333"/>
          <w:kern w:val="0"/>
          <w:sz w:val="22"/>
        </w:rPr>
        <w:t>五、投资顾问投资分析</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b/>
          <w:bCs/>
          <w:color w:val="333333"/>
          <w:kern w:val="0"/>
          <w:sz w:val="22"/>
        </w:rPr>
        <w:t xml:space="preserve">　　申明：本部分由投资顾问撰写，投资策略并不代表受托人的观点，仅供委托人投资决策参考。</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2013年弹指一挥间很快过去了，回顾全年，市场给予我们久违的希望，2013年是充满希望的一年。无论是资本市场的结构性牛市，还是新一届政府所做的全面深化改革的战略部署，都极大的鼓舞了投资者们的信心。我们同样也对未来中国经济的发展前景以及资本市场的长足发展充满信心！</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前景是光明的，道路是曲折的。我们在满怀希望的同时，对事物发展的曲折性也有相当的认识。尤其对受市场情绪波动较大的资本市场而言，我们更应认清市场的短期和长期的不同驱动因素，警惕可能的风险。下面我们将回顾和总结一下过去一年市场的运行状况和投资得失，整理下2014年的投资思路，期待在新的一年斩获更大的收益以回报投资者。</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（一）2013年市场运行分析。</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2013年市场有个显著特点，就是结构性牛市。创业板指数从最低的505点一路上扬到最高到1424点，涨幅为182%。在同样的时间区间内，上证指数从1960点上涨到2116点，涨幅仅为7.9%。中间还创下了1850点的新低。</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结构性牛市一方面反映了代表社会发展趋势的新经济、新技术、新模式开始率先走出金融危机以来的熊市，而传统经济的行业仍然处于筑底的过程，面临着艰难的去产能和去杠杠的过程。另一方面也反映了资金相对较宽裕。</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2013年表现异常突出的板块有传媒、手游、移动互联网等轻资产板块。另外新能源中的油气装备、光伏板块也表现突出。再就是环保、北斗卫星、军工、自贸区等主题板块也涨幅惊人。在大消费领域里的大众消费品表现很不错。在制造业领域中的机器人等自动化领域表现异常好。其他传统经济板块却表现很是低迷。市场出现了极大的分化，甚至截止到目前还有很多市场参与者在做成长股和价值股之辩。</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与A股指数走势低迷相比，美国、日本和欧洲等发达国家的股市表现却异常牛气。在过去的一年里，美国标准普尔500指数涨幅高达26%，日经225指数涨幅为54%，德国法兰克福DAX指数也涨幅为23%。而发展中国家股市表现普遍低迷，印度孟买sensex指数涨幅为9.7%，巴西圣保罗指数涨幅为-23%，俄罗斯指数涨幅为-10%。出现这种现象与金融危机期间发达国家量化宽松政策有关，目前世界经济开始缓慢复苏，资金有回流发达国家的预期。从这个角度而言，2014年美国实施退出量化宽松的政策可能对发展中国家的冲击会有所削弱。</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（二）瑞天信托计划投资业绩表现和总结。</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2013年瑞天信托计划表现差强人意，各产品净值有所恢复。但是仍未弥补过去两年投资者的亏损，在此我们表示深深的歉意！在新一年里，我们会更加勤奋努力去工作，争取有更大的成绩回馈投资者对我们的信任！经过两年熊市的洗礼，瑞天投资的投资体系变得更加成熟，我们现在相信并且有信心在新一年取得更好的成绩。</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我们建立了更加符合实际操作的风控体系，严格把风险放在第一位。在新的风控体系下，既不会妨碍基金经理的发挥主动能动性，又不会在出现判断失误的情况下又较大损害基金净值。在下半年我们完全发挥了瑞天之前的灵活特性，同时又做到了净值回撤较小。</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在2013年上半年，我们因为错过了2012年底的一波上涨，投资上显得非常谨慎，防守有余而进攻不足。即使是这样，在6月份整个市场暴跌的过程中，我们仍然遭受了损失。进入下半年，我们及时调整投资策略，积极布局估值低，但与宏观经济相关程度较低的行业。这种策略既可以避开涨势较大的创业板高估值，同时又避开了受宏观经济影响较大的传统经济行业。这种策略比较成功，使得我们在下半年指数波动加大的情况，依然维持高仓位并且取得不错的收益。在2013年，我们也犯了一些明显的错误。由于严格控制风险，错失了军工、自贸区等估值较高板块的主题投资机会。这将促使我们反思，我们在后续的投资上，除了遵循严格精选个股外，还将会注重对市场趋势性机会的把握，以期做得更好！</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（三）2014年投资策略。</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1、对未来经济的预判和展望。</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2014年宏观经济的最大变量是政策。众所周知，十八届三中全会的“决定”公布了一系列的改革举措。这些深化改革的举措从根本上将会扭转我们粗放式的经济增长方式，从而调整经济结构，释放我们经济长期增长的潜力。</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虽然这些举措极大得鼓舞了市场的信心，但是改革所带来的短期阵痛是再所难免的。短期最大的风险来源于利率市场化过程中所引发的信用风险。由于在2008年为救助经济释放了天量的流动性，直接导致了地方债规模的迅速膨胀以及房地产价格的快速上涨。当前我国M2规模已经接近GDP的两倍，但是这些存量资金很大部分囤积在以地方政府投融资平台为主体的基础设施建设投资和房地产泡沫为特征的房地产投资上。另外，还有相当比例的存量资金循环在资本密集型的传统制造业上。这些过剩产业在09和10年大规模扩张产能，导致资本开支巨大，很多企业借旧债还新债，甚至滚动借入短期资金来偿还利息。这三大黑洞极大的吞噬着资金，使得央行放水很难蔓延到实体经济中去了。这直接导致了目前我们所面临的奇特现象，即存量资金泛滥，但是实体经济仍然资金饥渴。为了挤压资产泡沫，从而降低金融杠杆比例，央行开始启动利率市场化进程，全面抬升利率中枢。在资金价格上升的过程中，以上所述的地方债、房地产泡沫以及过剩产业面临着资金断裂的风险，杠杆去化的过程中稍有不慎可能引发金融风险。在2013年全年，最打击股票市场的就是6月份和12月份的资金紧张。并且资金紧张在2014年仍将延续。况且美国退出QE政策在2014年会是大概率事件，资金外流将会进一步恶化资金紧张的局面。当然央行将会密切关注资金紧张程度，维持资金较紧而又不至于引起金融风险的状态。</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从股票市场的表现就可以看出，短期资金的紧张对市场冲击更大，中长期资金的紧张反而冲击不大。2013年6月份资金紧张引起股票市场暴跌，而中长期资金价格的抬升是从10月份开始的，抬升幅度也很大，但是对股票市场的冲击反而相对温和。主要的原因在于，短期资金的借入是循环滚动偿还中长期资金的利息。短期资金的紧张直接引起现金流的断裂，而中长期利率的抬升只是增加借贷的利息成本，加大财务费用，短期不至于使得企业现金流断裂而破产。但是从中长期来看，中长期利率中枢的抬升有利于经济结构转型。但耗时可能会更长久些。</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安信证券首席经济学家高善文博士曾论述过资金紧张将会迎来三波冲击，第一波是银行间市场。目前来看就是2013年6月份所引起的银行市场的紧张，直接导致的后果是银行间市场的规范和整顿。第二波是票据贴现市场和理财市场。主要表现为商业银行被迫大量收缩表外资产和票据融资。票据和理财市场会受到强烈冲击。目前来看这波冲击已经在2013年10月份已经发生了。第三波冲击主要是对实体经济的冲击。高企的资金价格最终将会导致过剩产业的兼并重组。目前来看还没有发生，这将会直接导致经济增速的下滑。刚刚公布的2013年12月份中国制造业采购经理人指数PMI为51%，比上月回升0.4个百分点，11月份的PMI已经与10月份持平，终结了连续4个月环比上涨的态势。经济开始有下滑的迹象，值得警惕。</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展望2014年的宏观经济，我们判断政策面的改革措施仍将会持续不断推出，政策面是利好的。但资金面将会维持紧平衡的状态，并且上半年的资金紧张状况将会更加突出。从经济周期上来看，经济将处于新一轮经济增长的起点。</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2、2014年A股市场展望。</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根据上述对宏观经济的判断，我们判断市场将会在改革红利的刺激下，利好不断。市场仍是结构性行情。尤其是在资金紧张的上半年。主题投资和受益于政策利好的板块将会受到关注。但是我们知道，创业板涨幅已经非常巨大，而主题投资板块，比如自贸区、军工、北斗产业链、环保、粮食安全、信息安全等也轮番炒遍。受益于政策红利的国企改革、土地流转、4G建设、移动转售等也涨幅较大。而2014年上半年的宏观经济我们判断存在着下行压力，传统周期性行业仍将困难重重。</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因此，我们判断市场走势可能下半年优于上半年。具体到各个季度而言，我们判断1季度宏观经济基本面面临下行压力，传统周期性行业将会困难重重。但是在高送转、年报真空期以及新股上市的刺激下，市场仍然不会缺乏热点。2季度开始布局成长股，年报过后，成长股开始分化，创业板从2013年10月份开始调整到2014年2季度，调整时间6个月，幅度相对充分。3季度过后，实体经济开始经过调整后企稳回升，经济周期的力量开始拉动市场向上，大盘蓝筹迎来估值修复的上扬行情。</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以上是我们根据现有信息的大致判断。后续走势仍然将会根据新的数据做出修正。另外，虽然市场投资者对当前的宏观经济走势判断不一，分歧显著。但是市场对2014年仍然是结构性行情的观点却非常一致。我们将会更加侧重自下而上精选个股，挖掘结构性机会！</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（四）2014年瑞天投资计划。</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根据以上分析，我们相信2014年是充满希望的一年，但同时我们也相信2014年的钱比2013年更难赚。毕竟2013年的结构性牛市使得很多板块和个股涨幅巨大了。具体到2014年投资计划，我们将会在上半年仍然回避周期性行业，回避资本密集型的高杠杆行业。积极自下而上去寻找一些景气度上升的细分行业龙头，同时重点关注互联网等新经济带来的投资机会，最后需要特别关注的是传统产业在互联网的改造下可能走出的市场机会！行业配置具体如下：</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1、配置医疗服务、器械及高端仿制药等细分板块。医药板块受宏观经济的影响较小。并且受到政策驱动影响较大。医疗服务和器械受益于“以药养医”制度的逐步改变，高端仿制药受益于药品招标制度的改变。</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2、配置品牌消费。消费升级是大势所趋，并且是一个长期的趋势。</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3、配置高端制造。中国是世界制造工厂，中国制造在国际分工中具有比较优势，虽然低端劳动力的优势受到工资上涨有所弱化，但是中国工程师红利才刚刚开始。中国经济结构的转型，从本质上来说是中国制造业的转型。制造业由大变强的过程。</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4、看好移动互联网。移动互联网不是互联网产业的简单延伸，而是真正的互联网，它未来的产值将远远超过当前的互联网。</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5、看好军工、环保、北斗卫星、信息安全产业链。这些板块估值较高，但是属于国家大战略。国家将会长期推动其发展。积极关注政策变化带来的机会。</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6、重点关注传统产业在互联网改造下而转型成功的企业。小米手机的成功可以说是最好的例子，A股很多传统企业已经开始拥抱互联网，积极用互联网去改造自己，率先走出来的企业将会迎来凤凰涅磐的大机会。</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六、受托人重要事项变更通知</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（一）信托执行经理变更说明</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无。</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（二）受托人、投资顾问、保管银行及证券经纪人变更说明</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接“粤财信托·瑞天价值成长证券投资集合资金信托计划”的投资顾问（广东瑞天投资管理有限公司）的通知，从2014年1月1日起，瑞天价值成长证券投资集合资金信托计划的基金经理由原“李鹏”变更为“龚继海”。李鹏任职广东瑞天投资管理有限公司投资总监职位不变。龚继海先生，31岁，经济学硕士（金融工程专业）。拥有8年证券从业经验。曾任职于国内知名阳光私募公司。2011年加盟广东瑞天投资管理有限公司，担任研究总监；2013年兼任基金经理助理； 2014年1月1日起任基金经理。</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（三）信托资金运用重大变动说明</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无。</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（四）涉及诉讼或者损害信托财产、委托人或者受益人利益的情形</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xml:space="preserve">　　无。</w:t>
      </w:r>
    </w:p>
    <w:p w:rsidR="00962D9E" w:rsidRPr="00962D9E" w:rsidRDefault="00962D9E" w:rsidP="00962D9E">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16"/>
          <w:szCs w:val="16"/>
        </w:rPr>
        <w:t> </w:t>
      </w:r>
    </w:p>
    <w:p w:rsidR="00962D9E" w:rsidRPr="00962D9E" w:rsidRDefault="00962D9E" w:rsidP="00962D9E">
      <w:pPr>
        <w:widowControl/>
        <w:shd w:val="clear" w:color="auto" w:fill="FFFFFF"/>
        <w:spacing w:line="340" w:lineRule="atLeast"/>
        <w:jc w:val="righ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广东粤财信托有限公司</w:t>
      </w:r>
    </w:p>
    <w:p w:rsidR="00962D9E" w:rsidRPr="00962D9E" w:rsidRDefault="00962D9E" w:rsidP="00962D9E">
      <w:pPr>
        <w:widowControl/>
        <w:shd w:val="clear" w:color="auto" w:fill="FFFFFF"/>
        <w:spacing w:line="340" w:lineRule="atLeast"/>
        <w:jc w:val="right"/>
        <w:rPr>
          <w:rFonts w:ascii="微软雅黑" w:eastAsia="微软雅黑" w:hAnsi="微软雅黑" w:cs="宋体" w:hint="eastAsia"/>
          <w:color w:val="333333"/>
          <w:kern w:val="0"/>
          <w:sz w:val="16"/>
          <w:szCs w:val="16"/>
        </w:rPr>
      </w:pPr>
      <w:r w:rsidRPr="00962D9E">
        <w:rPr>
          <w:rFonts w:ascii="微软雅黑" w:eastAsia="微软雅黑" w:hAnsi="微软雅黑" w:cs="宋体" w:hint="eastAsia"/>
          <w:color w:val="333333"/>
          <w:kern w:val="0"/>
          <w:sz w:val="22"/>
        </w:rPr>
        <w:t>                                     2014年1月8日</w:t>
      </w:r>
    </w:p>
    <w:p w:rsidR="001E6792" w:rsidRDefault="001E6792"/>
    <w:sectPr w:rsidR="001E679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E6792" w:rsidRDefault="001E6792" w:rsidP="00962D9E">
      <w:r>
        <w:separator/>
      </w:r>
    </w:p>
  </w:endnote>
  <w:endnote w:type="continuationSeparator" w:id="1">
    <w:p w:rsidR="001E6792" w:rsidRDefault="001E6792" w:rsidP="00962D9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E6792" w:rsidRDefault="001E6792" w:rsidP="00962D9E">
      <w:r>
        <w:separator/>
      </w:r>
    </w:p>
  </w:footnote>
  <w:footnote w:type="continuationSeparator" w:id="1">
    <w:p w:rsidR="001E6792" w:rsidRDefault="001E6792" w:rsidP="00962D9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62D9E"/>
    <w:rsid w:val="001E6792"/>
    <w:rsid w:val="00962D9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62D9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62D9E"/>
    <w:rPr>
      <w:sz w:val="18"/>
      <w:szCs w:val="18"/>
    </w:rPr>
  </w:style>
  <w:style w:type="paragraph" w:styleId="a4">
    <w:name w:val="footer"/>
    <w:basedOn w:val="a"/>
    <w:link w:val="Char0"/>
    <w:uiPriority w:val="99"/>
    <w:semiHidden/>
    <w:unhideWhenUsed/>
    <w:rsid w:val="00962D9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62D9E"/>
    <w:rPr>
      <w:sz w:val="18"/>
      <w:szCs w:val="18"/>
    </w:rPr>
  </w:style>
  <w:style w:type="paragraph" w:styleId="a5">
    <w:name w:val="Normal (Web)"/>
    <w:basedOn w:val="a"/>
    <w:uiPriority w:val="99"/>
    <w:unhideWhenUsed/>
    <w:rsid w:val="00962D9E"/>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962D9E"/>
    <w:rPr>
      <w:b/>
      <w:bCs/>
    </w:rPr>
  </w:style>
  <w:style w:type="paragraph" w:styleId="a7">
    <w:name w:val="Balloon Text"/>
    <w:basedOn w:val="a"/>
    <w:link w:val="Char1"/>
    <w:uiPriority w:val="99"/>
    <w:semiHidden/>
    <w:unhideWhenUsed/>
    <w:rsid w:val="00962D9E"/>
    <w:rPr>
      <w:sz w:val="18"/>
      <w:szCs w:val="18"/>
    </w:rPr>
  </w:style>
  <w:style w:type="character" w:customStyle="1" w:styleId="Char1">
    <w:name w:val="批注框文本 Char"/>
    <w:basedOn w:val="a0"/>
    <w:link w:val="a7"/>
    <w:uiPriority w:val="99"/>
    <w:semiHidden/>
    <w:rsid w:val="00962D9E"/>
    <w:rPr>
      <w:sz w:val="18"/>
      <w:szCs w:val="18"/>
    </w:rPr>
  </w:style>
</w:styles>
</file>

<file path=word/webSettings.xml><?xml version="1.0" encoding="utf-8"?>
<w:webSettings xmlns:r="http://schemas.openxmlformats.org/officeDocument/2006/relationships" xmlns:w="http://schemas.openxmlformats.org/wordprocessingml/2006/main">
  <w:divs>
    <w:div w:id="472017371">
      <w:bodyDiv w:val="1"/>
      <w:marLeft w:val="0"/>
      <w:marRight w:val="0"/>
      <w:marTop w:val="0"/>
      <w:marBottom w:val="0"/>
      <w:divBdr>
        <w:top w:val="none" w:sz="0" w:space="0" w:color="auto"/>
        <w:left w:val="none" w:sz="0" w:space="0" w:color="auto"/>
        <w:bottom w:val="none" w:sz="0" w:space="0" w:color="auto"/>
        <w:right w:val="none" w:sz="0" w:space="0" w:color="auto"/>
      </w:divBdr>
      <w:divsChild>
        <w:div w:id="2027318053">
          <w:marLeft w:val="0"/>
          <w:marRight w:val="0"/>
          <w:marTop w:val="0"/>
          <w:marBottom w:val="0"/>
          <w:divBdr>
            <w:top w:val="none" w:sz="0" w:space="0" w:color="auto"/>
            <w:left w:val="none" w:sz="0" w:space="0" w:color="auto"/>
            <w:bottom w:val="none" w:sz="0" w:space="0" w:color="auto"/>
            <w:right w:val="none" w:sz="0" w:space="0" w:color="auto"/>
          </w:divBdr>
          <w:divsChild>
            <w:div w:id="1209998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892</Words>
  <Characters>5091</Characters>
  <Application>Microsoft Office Word</Application>
  <DocSecurity>0</DocSecurity>
  <Lines>42</Lines>
  <Paragraphs>11</Paragraphs>
  <ScaleCrop>false</ScaleCrop>
  <Company/>
  <LinksUpToDate>false</LinksUpToDate>
  <CharactersWithSpaces>5972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2014-02-24T06:41:00Z</dcterms:created>
  <dcterms:modified xsi:type="dcterms:W3CDTF">2014-02-24T06:43:00Z</dcterms:modified>
</cp:coreProperties>
</file>