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0828" w:rsidRPr="00830828" w:rsidRDefault="00830828" w:rsidP="00830828">
      <w:pPr>
        <w:widowControl/>
        <w:shd w:val="clear" w:color="auto" w:fill="FFFFFF"/>
        <w:jc w:val="center"/>
        <w:rPr>
          <w:rFonts w:ascii="微软雅黑" w:eastAsia="微软雅黑" w:hAnsi="微软雅黑" w:cs="宋体"/>
          <w:color w:val="988036"/>
          <w:kern w:val="0"/>
          <w:sz w:val="33"/>
          <w:szCs w:val="33"/>
        </w:rPr>
      </w:pPr>
      <w:r w:rsidRPr="00830828">
        <w:rPr>
          <w:rFonts w:ascii="微软雅黑" w:eastAsia="微软雅黑" w:hAnsi="微软雅黑" w:cs="宋体" w:hint="eastAsia"/>
          <w:color w:val="988036"/>
          <w:kern w:val="0"/>
          <w:sz w:val="33"/>
          <w:szCs w:val="33"/>
        </w:rPr>
        <w:t>粤财信托·私募精选2期集合资金信托计划2013年第4季度管理报告</w:t>
      </w:r>
    </w:p>
    <w:p w:rsidR="00830828" w:rsidRPr="00830828" w:rsidRDefault="00830828" w:rsidP="00830828">
      <w:pPr>
        <w:widowControl/>
        <w:shd w:val="clear" w:color="auto" w:fill="EEEEEE"/>
        <w:spacing w:line="14"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16"/>
          <w:szCs w:val="16"/>
        </w:rPr>
        <w:t> </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w:t>
      </w:r>
      <w:r w:rsidRPr="00830828">
        <w:rPr>
          <w:rFonts w:ascii="微软雅黑" w:eastAsia="微软雅黑" w:hAnsi="微软雅黑" w:cs="宋体" w:hint="eastAsia"/>
          <w:b/>
          <w:bCs/>
          <w:color w:val="333333"/>
          <w:kern w:val="0"/>
          <w:sz w:val="22"/>
        </w:rPr>
        <w:t>一、重要提示</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本信托计划的保管人为兴业银行股份有限公司，保管人已复核了本报告中的估值日净值等内容，保证复核内容不存在虚假记载、误导性陈述或者重大遗漏。</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受托人承诺以诚实信用、勤勉尽责的原则管理和运用信托资产，但不保证信托财产一定盈利。</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本信托计划的过往业绩并不代表其未来表现。证券投资有风险，投资者在做出投资决策前应仔细阅读本信托计划说明书。</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本报告期为2013年10月1日起至2013年12月31日止。</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b/>
          <w:bCs/>
          <w:color w:val="333333"/>
          <w:kern w:val="0"/>
          <w:sz w:val="22"/>
        </w:rPr>
        <w:t>二、信托项目概况</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1、项目名称：粤财信托·私募精选2期集合资金信托计划；</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2、信托期限：不设定固定期限；</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3、投资范围：根据委托人的指定，本信托计划成立后，信托财产全部用于申购广东粤财信托有限公司担任受托人、广东瑞天投资管理有限公司担任投资顾问的“粤财信托?瑞天价值成长证券投资集合资金信托计划”。</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粤财信托?瑞天价值成长证券投资集合资金信托计划”成立于2008年7月7日，主要投资在上海证券交易所或深圳证券交易所公开挂牌交易或已经公开发行并即将公开挂牌交易的所有投资产品、银行间投资品种（如银行间债券、中央银行票据等）以及中国证券业监督管理委员会许可发行的基金当前和未来可以投资的其他所有投资品种。</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本信托计划不直接投资于证券二级市场。剩余资金仅限存放于信托计划专用银行账户；</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4、估值日/开放日：每月的最后一个工作日；</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5、受托人：广东粤财信托有限公司；</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6、保管人：兴业银行股份有限公司；</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b/>
          <w:bCs/>
          <w:color w:val="333333"/>
          <w:kern w:val="0"/>
          <w:sz w:val="22"/>
        </w:rPr>
        <w:t>三、投资状况</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信托计划于2011年4月28日成立，本信托计划99.99%的资金用于申购</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广东粤财信托有限公司担任受托人、广东瑞天投资管理有限公司担任投资顾问的“粤财信托?瑞天价值成长证券投资集合资金信托计划”。</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截至2013年9月30日，本信托计划总份额为9,242,542.14份,信托计划总资产净值为9,070,921.14元。</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b/>
          <w:bCs/>
          <w:color w:val="333333"/>
          <w:kern w:val="0"/>
          <w:sz w:val="22"/>
        </w:rPr>
        <w:t>四、报告期内业绩表现</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b/>
          <w:bCs/>
          <w:color w:val="333333"/>
          <w:kern w:val="0"/>
          <w:sz w:val="22"/>
        </w:rPr>
        <w:t xml:space="preserve">　　（一）区间业绩表现</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从估值日准确净值来看，2013年12月31日产品单位净值为0.8394元，</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较上一报告期最后一个估值日上涨5.89%，同期沪深300指数下跌3.28，产品净值表现好于同期沪深300指数表现。</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16"/>
          <w:szCs w:val="16"/>
        </w:rPr>
        <w:t> </w:t>
      </w:r>
    </w:p>
    <w:p w:rsidR="00830828" w:rsidRPr="00830828" w:rsidRDefault="00830828" w:rsidP="00830828">
      <w:pPr>
        <w:widowControl/>
        <w:shd w:val="clear" w:color="auto" w:fill="FFFFFF"/>
        <w:spacing w:line="340" w:lineRule="atLeast"/>
        <w:jc w:val="center"/>
        <w:rPr>
          <w:rFonts w:ascii="微软雅黑" w:eastAsia="微软雅黑" w:hAnsi="微软雅黑" w:cs="宋体" w:hint="eastAsia"/>
          <w:color w:val="333333"/>
          <w:kern w:val="0"/>
          <w:sz w:val="16"/>
          <w:szCs w:val="16"/>
        </w:rPr>
      </w:pPr>
      <w:r w:rsidRPr="00830828">
        <w:rPr>
          <w:rFonts w:ascii="楷体_GB2312" w:eastAsia="楷体_GB2312" w:hAnsi="微软雅黑" w:cs="宋体" w:hint="eastAsia"/>
          <w:color w:val="333333"/>
          <w:kern w:val="0"/>
          <w:sz w:val="18"/>
          <w:szCs w:val="18"/>
        </w:rPr>
        <w:t>表1：信托计划区间业绩表现</w:t>
      </w:r>
    </w:p>
    <w:tbl>
      <w:tblPr>
        <w:tblW w:w="0" w:type="auto"/>
        <w:jc w:val="center"/>
        <w:tblCellMar>
          <w:left w:w="0" w:type="dxa"/>
          <w:right w:w="0" w:type="dxa"/>
        </w:tblCellMar>
        <w:tblLook w:val="04A0"/>
      </w:tblPr>
      <w:tblGrid>
        <w:gridCol w:w="2123"/>
        <w:gridCol w:w="2124"/>
        <w:gridCol w:w="2124"/>
        <w:gridCol w:w="2125"/>
      </w:tblGrid>
      <w:tr w:rsidR="00830828" w:rsidRPr="00830828" w:rsidTr="00830828">
        <w:trPr>
          <w:trHeight w:val="15"/>
          <w:jc w:val="center"/>
        </w:trPr>
        <w:tc>
          <w:tcPr>
            <w:tcW w:w="2130" w:type="dxa"/>
            <w:tcBorders>
              <w:top w:val="single" w:sz="6" w:space="0" w:color="auto"/>
              <w:left w:val="single" w:sz="6" w:space="0" w:color="auto"/>
              <w:bottom w:val="single" w:sz="6" w:space="0" w:color="auto"/>
              <w:right w:val="single" w:sz="6" w:space="0" w:color="auto"/>
            </w:tcBorders>
            <w:shd w:val="clear" w:color="auto" w:fill="8DB3E2"/>
            <w:tcMar>
              <w:top w:w="0" w:type="dxa"/>
              <w:left w:w="95" w:type="dxa"/>
              <w:bottom w:w="0" w:type="dxa"/>
              <w:right w:w="95" w:type="dxa"/>
            </w:tcMar>
            <w:vAlign w:val="center"/>
            <w:hideMark/>
          </w:tcPr>
          <w:p w:rsidR="00830828" w:rsidRPr="00830828" w:rsidRDefault="00830828" w:rsidP="00830828">
            <w:pPr>
              <w:widowControl/>
              <w:spacing w:line="15" w:lineRule="atLeast"/>
              <w:jc w:val="left"/>
              <w:rPr>
                <w:rFonts w:ascii="微软雅黑" w:eastAsia="微软雅黑" w:hAnsi="微软雅黑" w:cs="宋体"/>
                <w:kern w:val="0"/>
                <w:sz w:val="16"/>
                <w:szCs w:val="16"/>
              </w:rPr>
            </w:pPr>
            <w:r w:rsidRPr="00830828">
              <w:rPr>
                <w:rFonts w:ascii="微软雅黑" w:eastAsia="微软雅黑" w:hAnsi="微软雅黑" w:cs="宋体" w:hint="eastAsia"/>
                <w:kern w:val="0"/>
                <w:sz w:val="22"/>
              </w:rPr>
              <w:t>项目</w:t>
            </w:r>
          </w:p>
        </w:tc>
        <w:tc>
          <w:tcPr>
            <w:tcW w:w="2130" w:type="dxa"/>
            <w:tcBorders>
              <w:top w:val="single" w:sz="6" w:space="0" w:color="auto"/>
              <w:left w:val="nil"/>
              <w:bottom w:val="single" w:sz="6" w:space="0" w:color="auto"/>
              <w:right w:val="single" w:sz="6" w:space="0" w:color="auto"/>
            </w:tcBorders>
            <w:shd w:val="clear" w:color="auto" w:fill="8DB3E2"/>
            <w:tcMar>
              <w:top w:w="0" w:type="dxa"/>
              <w:left w:w="95" w:type="dxa"/>
              <w:bottom w:w="0" w:type="dxa"/>
              <w:right w:w="95" w:type="dxa"/>
            </w:tcMar>
            <w:vAlign w:val="center"/>
            <w:hideMark/>
          </w:tcPr>
          <w:p w:rsidR="00830828" w:rsidRPr="00830828" w:rsidRDefault="00830828" w:rsidP="00830828">
            <w:pPr>
              <w:widowControl/>
              <w:spacing w:line="15" w:lineRule="atLeast"/>
              <w:jc w:val="left"/>
              <w:rPr>
                <w:rFonts w:ascii="微软雅黑" w:eastAsia="微软雅黑" w:hAnsi="微软雅黑" w:cs="宋体"/>
                <w:kern w:val="0"/>
                <w:sz w:val="16"/>
                <w:szCs w:val="16"/>
              </w:rPr>
            </w:pPr>
            <w:r w:rsidRPr="00830828">
              <w:rPr>
                <w:rFonts w:ascii="微软雅黑" w:eastAsia="微软雅黑" w:hAnsi="微软雅黑" w:cs="宋体" w:hint="eastAsia"/>
                <w:kern w:val="0"/>
                <w:sz w:val="22"/>
              </w:rPr>
              <w:t>最近一个月</w:t>
            </w:r>
          </w:p>
        </w:tc>
        <w:tc>
          <w:tcPr>
            <w:tcW w:w="2130" w:type="dxa"/>
            <w:tcBorders>
              <w:top w:val="single" w:sz="6" w:space="0" w:color="auto"/>
              <w:left w:val="nil"/>
              <w:bottom w:val="single" w:sz="6" w:space="0" w:color="auto"/>
              <w:right w:val="single" w:sz="6" w:space="0" w:color="auto"/>
            </w:tcBorders>
            <w:shd w:val="clear" w:color="auto" w:fill="8DB3E2"/>
            <w:tcMar>
              <w:top w:w="0" w:type="dxa"/>
              <w:left w:w="95" w:type="dxa"/>
              <w:bottom w:w="0" w:type="dxa"/>
              <w:right w:w="95" w:type="dxa"/>
            </w:tcMar>
            <w:vAlign w:val="center"/>
            <w:hideMark/>
          </w:tcPr>
          <w:p w:rsidR="00830828" w:rsidRPr="00830828" w:rsidRDefault="00830828" w:rsidP="00830828">
            <w:pPr>
              <w:widowControl/>
              <w:spacing w:line="15" w:lineRule="atLeast"/>
              <w:jc w:val="left"/>
              <w:rPr>
                <w:rFonts w:ascii="微软雅黑" w:eastAsia="微软雅黑" w:hAnsi="微软雅黑" w:cs="宋体"/>
                <w:kern w:val="0"/>
                <w:sz w:val="16"/>
                <w:szCs w:val="16"/>
              </w:rPr>
            </w:pPr>
            <w:r w:rsidRPr="00830828">
              <w:rPr>
                <w:rFonts w:ascii="微软雅黑" w:eastAsia="微软雅黑" w:hAnsi="微软雅黑" w:cs="宋体" w:hint="eastAsia"/>
                <w:kern w:val="0"/>
                <w:sz w:val="22"/>
              </w:rPr>
              <w:t>最近3个月</w:t>
            </w:r>
          </w:p>
        </w:tc>
        <w:tc>
          <w:tcPr>
            <w:tcW w:w="2130" w:type="dxa"/>
            <w:tcBorders>
              <w:top w:val="single" w:sz="6" w:space="0" w:color="auto"/>
              <w:left w:val="nil"/>
              <w:bottom w:val="single" w:sz="6" w:space="0" w:color="auto"/>
              <w:right w:val="single" w:sz="6" w:space="0" w:color="auto"/>
            </w:tcBorders>
            <w:shd w:val="clear" w:color="auto" w:fill="8DB3E2"/>
            <w:tcMar>
              <w:top w:w="0" w:type="dxa"/>
              <w:left w:w="95" w:type="dxa"/>
              <w:bottom w:w="0" w:type="dxa"/>
              <w:right w:w="95" w:type="dxa"/>
            </w:tcMar>
            <w:vAlign w:val="center"/>
            <w:hideMark/>
          </w:tcPr>
          <w:p w:rsidR="00830828" w:rsidRPr="00830828" w:rsidRDefault="00830828" w:rsidP="00830828">
            <w:pPr>
              <w:widowControl/>
              <w:spacing w:line="15" w:lineRule="atLeast"/>
              <w:jc w:val="left"/>
              <w:rPr>
                <w:rFonts w:ascii="微软雅黑" w:eastAsia="微软雅黑" w:hAnsi="微软雅黑" w:cs="宋体"/>
                <w:kern w:val="0"/>
                <w:sz w:val="16"/>
                <w:szCs w:val="16"/>
              </w:rPr>
            </w:pPr>
            <w:r w:rsidRPr="00830828">
              <w:rPr>
                <w:rFonts w:ascii="微软雅黑" w:eastAsia="微软雅黑" w:hAnsi="微软雅黑" w:cs="宋体" w:hint="eastAsia"/>
                <w:kern w:val="0"/>
                <w:sz w:val="22"/>
              </w:rPr>
              <w:t>最近6个月</w:t>
            </w:r>
          </w:p>
        </w:tc>
      </w:tr>
      <w:tr w:rsidR="00830828" w:rsidRPr="00830828" w:rsidTr="00830828">
        <w:trPr>
          <w:trHeight w:val="15"/>
          <w:jc w:val="center"/>
        </w:trPr>
        <w:tc>
          <w:tcPr>
            <w:tcW w:w="2130" w:type="dxa"/>
            <w:tcBorders>
              <w:top w:val="nil"/>
              <w:left w:val="single" w:sz="6" w:space="0" w:color="auto"/>
              <w:bottom w:val="single" w:sz="6" w:space="0" w:color="auto"/>
              <w:right w:val="single" w:sz="6" w:space="0" w:color="auto"/>
            </w:tcBorders>
            <w:shd w:val="clear" w:color="auto" w:fill="FFFF99"/>
            <w:tcMar>
              <w:top w:w="0" w:type="dxa"/>
              <w:left w:w="95" w:type="dxa"/>
              <w:bottom w:w="0" w:type="dxa"/>
              <w:right w:w="95" w:type="dxa"/>
            </w:tcMar>
            <w:vAlign w:val="center"/>
            <w:hideMark/>
          </w:tcPr>
          <w:p w:rsidR="00830828" w:rsidRPr="00830828" w:rsidRDefault="00830828" w:rsidP="00830828">
            <w:pPr>
              <w:widowControl/>
              <w:spacing w:line="15" w:lineRule="atLeast"/>
              <w:jc w:val="left"/>
              <w:rPr>
                <w:rFonts w:ascii="微软雅黑" w:eastAsia="微软雅黑" w:hAnsi="微软雅黑" w:cs="宋体"/>
                <w:kern w:val="0"/>
                <w:sz w:val="16"/>
                <w:szCs w:val="16"/>
              </w:rPr>
            </w:pPr>
            <w:r w:rsidRPr="00830828">
              <w:rPr>
                <w:rFonts w:ascii="微软雅黑" w:eastAsia="微软雅黑" w:hAnsi="微软雅黑" w:cs="宋体" w:hint="eastAsia"/>
                <w:kern w:val="0"/>
                <w:sz w:val="22"/>
              </w:rPr>
              <w:t>私募精选2期</w:t>
            </w:r>
          </w:p>
        </w:tc>
        <w:tc>
          <w:tcPr>
            <w:tcW w:w="2130" w:type="dxa"/>
            <w:tcBorders>
              <w:top w:val="nil"/>
              <w:left w:val="nil"/>
              <w:bottom w:val="single" w:sz="6" w:space="0" w:color="auto"/>
              <w:right w:val="single" w:sz="6" w:space="0" w:color="auto"/>
            </w:tcBorders>
            <w:shd w:val="clear" w:color="auto" w:fill="FFFF99"/>
            <w:tcMar>
              <w:top w:w="0" w:type="dxa"/>
              <w:left w:w="95" w:type="dxa"/>
              <w:bottom w:w="0" w:type="dxa"/>
              <w:right w:w="95" w:type="dxa"/>
            </w:tcMar>
            <w:vAlign w:val="center"/>
            <w:hideMark/>
          </w:tcPr>
          <w:p w:rsidR="00830828" w:rsidRPr="00830828" w:rsidRDefault="00830828" w:rsidP="00830828">
            <w:pPr>
              <w:widowControl/>
              <w:spacing w:line="15" w:lineRule="atLeast"/>
              <w:jc w:val="left"/>
              <w:rPr>
                <w:rFonts w:ascii="微软雅黑" w:eastAsia="微软雅黑" w:hAnsi="微软雅黑" w:cs="宋体"/>
                <w:kern w:val="0"/>
                <w:sz w:val="16"/>
                <w:szCs w:val="16"/>
              </w:rPr>
            </w:pPr>
            <w:r w:rsidRPr="00830828">
              <w:rPr>
                <w:rFonts w:ascii="微软雅黑" w:eastAsia="微软雅黑" w:hAnsi="微软雅黑" w:cs="宋体" w:hint="eastAsia"/>
                <w:kern w:val="0"/>
                <w:sz w:val="22"/>
              </w:rPr>
              <w:t>-2.96%</w:t>
            </w:r>
          </w:p>
        </w:tc>
        <w:tc>
          <w:tcPr>
            <w:tcW w:w="2130" w:type="dxa"/>
            <w:tcBorders>
              <w:top w:val="nil"/>
              <w:left w:val="nil"/>
              <w:bottom w:val="single" w:sz="6" w:space="0" w:color="auto"/>
              <w:right w:val="single" w:sz="6" w:space="0" w:color="auto"/>
            </w:tcBorders>
            <w:shd w:val="clear" w:color="auto" w:fill="FFFF99"/>
            <w:tcMar>
              <w:top w:w="0" w:type="dxa"/>
              <w:left w:w="95" w:type="dxa"/>
              <w:bottom w:w="0" w:type="dxa"/>
              <w:right w:w="95" w:type="dxa"/>
            </w:tcMar>
            <w:vAlign w:val="center"/>
            <w:hideMark/>
          </w:tcPr>
          <w:p w:rsidR="00830828" w:rsidRPr="00830828" w:rsidRDefault="00830828" w:rsidP="00830828">
            <w:pPr>
              <w:widowControl/>
              <w:spacing w:line="15" w:lineRule="atLeast"/>
              <w:jc w:val="left"/>
              <w:rPr>
                <w:rFonts w:ascii="微软雅黑" w:eastAsia="微软雅黑" w:hAnsi="微软雅黑" w:cs="宋体"/>
                <w:kern w:val="0"/>
                <w:sz w:val="16"/>
                <w:szCs w:val="16"/>
              </w:rPr>
            </w:pPr>
            <w:r w:rsidRPr="00830828">
              <w:rPr>
                <w:rFonts w:ascii="微软雅黑" w:eastAsia="微软雅黑" w:hAnsi="微软雅黑" w:cs="宋体" w:hint="eastAsia"/>
                <w:kern w:val="0"/>
                <w:sz w:val="22"/>
              </w:rPr>
              <w:t>5.89%</w:t>
            </w:r>
          </w:p>
        </w:tc>
        <w:tc>
          <w:tcPr>
            <w:tcW w:w="2130" w:type="dxa"/>
            <w:tcBorders>
              <w:top w:val="nil"/>
              <w:left w:val="nil"/>
              <w:bottom w:val="single" w:sz="6" w:space="0" w:color="auto"/>
              <w:right w:val="single" w:sz="6" w:space="0" w:color="auto"/>
            </w:tcBorders>
            <w:shd w:val="clear" w:color="auto" w:fill="FFFF99"/>
            <w:tcMar>
              <w:top w:w="0" w:type="dxa"/>
              <w:left w:w="95" w:type="dxa"/>
              <w:bottom w:w="0" w:type="dxa"/>
              <w:right w:w="95" w:type="dxa"/>
            </w:tcMar>
            <w:vAlign w:val="center"/>
            <w:hideMark/>
          </w:tcPr>
          <w:p w:rsidR="00830828" w:rsidRPr="00830828" w:rsidRDefault="00830828" w:rsidP="00830828">
            <w:pPr>
              <w:widowControl/>
              <w:spacing w:line="15" w:lineRule="atLeast"/>
              <w:jc w:val="left"/>
              <w:rPr>
                <w:rFonts w:ascii="微软雅黑" w:eastAsia="微软雅黑" w:hAnsi="微软雅黑" w:cs="宋体"/>
                <w:kern w:val="0"/>
                <w:sz w:val="16"/>
                <w:szCs w:val="16"/>
              </w:rPr>
            </w:pPr>
            <w:r w:rsidRPr="00830828">
              <w:rPr>
                <w:rFonts w:ascii="微软雅黑" w:eastAsia="微软雅黑" w:hAnsi="微软雅黑" w:cs="宋体" w:hint="eastAsia"/>
                <w:kern w:val="0"/>
                <w:sz w:val="22"/>
              </w:rPr>
              <w:t>25.45%</w:t>
            </w:r>
          </w:p>
        </w:tc>
      </w:tr>
      <w:tr w:rsidR="00830828" w:rsidRPr="00830828" w:rsidTr="00830828">
        <w:trPr>
          <w:trHeight w:val="15"/>
          <w:jc w:val="center"/>
        </w:trPr>
        <w:tc>
          <w:tcPr>
            <w:tcW w:w="2130" w:type="dxa"/>
            <w:tcBorders>
              <w:top w:val="nil"/>
              <w:left w:val="single" w:sz="6" w:space="0" w:color="auto"/>
              <w:bottom w:val="single" w:sz="6" w:space="0" w:color="auto"/>
              <w:right w:val="single" w:sz="6" w:space="0" w:color="auto"/>
            </w:tcBorders>
            <w:shd w:val="clear" w:color="auto" w:fill="EEECE1"/>
            <w:tcMar>
              <w:top w:w="0" w:type="dxa"/>
              <w:left w:w="95" w:type="dxa"/>
              <w:bottom w:w="0" w:type="dxa"/>
              <w:right w:w="95" w:type="dxa"/>
            </w:tcMar>
            <w:vAlign w:val="center"/>
            <w:hideMark/>
          </w:tcPr>
          <w:p w:rsidR="00830828" w:rsidRPr="00830828" w:rsidRDefault="00830828" w:rsidP="00830828">
            <w:pPr>
              <w:widowControl/>
              <w:spacing w:line="15" w:lineRule="atLeast"/>
              <w:jc w:val="left"/>
              <w:rPr>
                <w:rFonts w:ascii="微软雅黑" w:eastAsia="微软雅黑" w:hAnsi="微软雅黑" w:cs="宋体"/>
                <w:kern w:val="0"/>
                <w:sz w:val="16"/>
                <w:szCs w:val="16"/>
              </w:rPr>
            </w:pPr>
            <w:r w:rsidRPr="00830828">
              <w:rPr>
                <w:rFonts w:ascii="微软雅黑" w:eastAsia="微软雅黑" w:hAnsi="微软雅黑" w:cs="宋体" w:hint="eastAsia"/>
                <w:kern w:val="0"/>
                <w:sz w:val="22"/>
              </w:rPr>
              <w:t>同期沪深300</w:t>
            </w:r>
          </w:p>
        </w:tc>
        <w:tc>
          <w:tcPr>
            <w:tcW w:w="2130" w:type="dxa"/>
            <w:tcBorders>
              <w:top w:val="nil"/>
              <w:left w:val="nil"/>
              <w:bottom w:val="single" w:sz="6" w:space="0" w:color="auto"/>
              <w:right w:val="single" w:sz="6" w:space="0" w:color="auto"/>
            </w:tcBorders>
            <w:shd w:val="clear" w:color="auto" w:fill="EEECE1"/>
            <w:tcMar>
              <w:top w:w="0" w:type="dxa"/>
              <w:left w:w="95" w:type="dxa"/>
              <w:bottom w:w="0" w:type="dxa"/>
              <w:right w:w="95" w:type="dxa"/>
            </w:tcMar>
            <w:vAlign w:val="center"/>
            <w:hideMark/>
          </w:tcPr>
          <w:p w:rsidR="00830828" w:rsidRPr="00830828" w:rsidRDefault="00830828" w:rsidP="00830828">
            <w:pPr>
              <w:widowControl/>
              <w:spacing w:line="15" w:lineRule="atLeast"/>
              <w:jc w:val="left"/>
              <w:rPr>
                <w:rFonts w:ascii="微软雅黑" w:eastAsia="微软雅黑" w:hAnsi="微软雅黑" w:cs="宋体"/>
                <w:kern w:val="0"/>
                <w:sz w:val="16"/>
                <w:szCs w:val="16"/>
              </w:rPr>
            </w:pPr>
            <w:r w:rsidRPr="00830828">
              <w:rPr>
                <w:rFonts w:ascii="微软雅黑" w:eastAsia="微软雅黑" w:hAnsi="微软雅黑" w:cs="宋体" w:hint="eastAsia"/>
                <w:kern w:val="0"/>
                <w:sz w:val="22"/>
              </w:rPr>
              <w:t>-4.47%</w:t>
            </w:r>
          </w:p>
        </w:tc>
        <w:tc>
          <w:tcPr>
            <w:tcW w:w="2130" w:type="dxa"/>
            <w:tcBorders>
              <w:top w:val="nil"/>
              <w:left w:val="nil"/>
              <w:bottom w:val="single" w:sz="6" w:space="0" w:color="auto"/>
              <w:right w:val="single" w:sz="6" w:space="0" w:color="auto"/>
            </w:tcBorders>
            <w:shd w:val="clear" w:color="auto" w:fill="EEECE1"/>
            <w:tcMar>
              <w:top w:w="0" w:type="dxa"/>
              <w:left w:w="95" w:type="dxa"/>
              <w:bottom w:w="0" w:type="dxa"/>
              <w:right w:w="95" w:type="dxa"/>
            </w:tcMar>
            <w:vAlign w:val="center"/>
            <w:hideMark/>
          </w:tcPr>
          <w:p w:rsidR="00830828" w:rsidRPr="00830828" w:rsidRDefault="00830828" w:rsidP="00830828">
            <w:pPr>
              <w:widowControl/>
              <w:spacing w:line="15" w:lineRule="atLeast"/>
              <w:jc w:val="left"/>
              <w:rPr>
                <w:rFonts w:ascii="微软雅黑" w:eastAsia="微软雅黑" w:hAnsi="微软雅黑" w:cs="宋体"/>
                <w:kern w:val="0"/>
                <w:sz w:val="16"/>
                <w:szCs w:val="16"/>
              </w:rPr>
            </w:pPr>
            <w:r w:rsidRPr="00830828">
              <w:rPr>
                <w:rFonts w:ascii="微软雅黑" w:eastAsia="微软雅黑" w:hAnsi="微软雅黑" w:cs="宋体" w:hint="eastAsia"/>
                <w:kern w:val="0"/>
                <w:sz w:val="22"/>
              </w:rPr>
              <w:t>-3.28%</w:t>
            </w:r>
          </w:p>
        </w:tc>
        <w:tc>
          <w:tcPr>
            <w:tcW w:w="2130" w:type="dxa"/>
            <w:tcBorders>
              <w:top w:val="nil"/>
              <w:left w:val="nil"/>
              <w:bottom w:val="single" w:sz="6" w:space="0" w:color="auto"/>
              <w:right w:val="single" w:sz="6" w:space="0" w:color="auto"/>
            </w:tcBorders>
            <w:shd w:val="clear" w:color="auto" w:fill="EEECE1"/>
            <w:tcMar>
              <w:top w:w="0" w:type="dxa"/>
              <w:left w:w="95" w:type="dxa"/>
              <w:bottom w:w="0" w:type="dxa"/>
              <w:right w:w="95" w:type="dxa"/>
            </w:tcMar>
            <w:vAlign w:val="center"/>
            <w:hideMark/>
          </w:tcPr>
          <w:p w:rsidR="00830828" w:rsidRPr="00830828" w:rsidRDefault="00830828" w:rsidP="00830828">
            <w:pPr>
              <w:widowControl/>
              <w:spacing w:line="15" w:lineRule="atLeast"/>
              <w:jc w:val="left"/>
              <w:rPr>
                <w:rFonts w:ascii="微软雅黑" w:eastAsia="微软雅黑" w:hAnsi="微软雅黑" w:cs="宋体"/>
                <w:kern w:val="0"/>
                <w:sz w:val="16"/>
                <w:szCs w:val="16"/>
              </w:rPr>
            </w:pPr>
            <w:r w:rsidRPr="00830828">
              <w:rPr>
                <w:rFonts w:ascii="微软雅黑" w:eastAsia="微软雅黑" w:hAnsi="微软雅黑" w:cs="宋体" w:hint="eastAsia"/>
                <w:kern w:val="0"/>
                <w:sz w:val="22"/>
              </w:rPr>
              <w:t>5.88%</w:t>
            </w:r>
          </w:p>
        </w:tc>
      </w:tr>
    </w:tbl>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b/>
          <w:bCs/>
          <w:color w:val="333333"/>
          <w:kern w:val="0"/>
          <w:sz w:val="22"/>
        </w:rPr>
        <w:t xml:space="preserve">　　</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b/>
          <w:bCs/>
          <w:color w:val="333333"/>
          <w:kern w:val="0"/>
          <w:sz w:val="22"/>
        </w:rPr>
        <w:t>（二）信托计划成立以来净值增长率与沪深300指数变动率比较</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b/>
          <w:bCs/>
          <w:color w:val="333333"/>
          <w:kern w:val="0"/>
          <w:sz w:val="22"/>
        </w:rPr>
        <w:t xml:space="preserve">　　</w:t>
      </w:r>
      <w:r w:rsidRPr="00830828">
        <w:rPr>
          <w:rFonts w:ascii="微软雅黑" w:eastAsia="微软雅黑" w:hAnsi="微软雅黑" w:cs="宋体" w:hint="eastAsia"/>
          <w:color w:val="333333"/>
          <w:kern w:val="0"/>
          <w:sz w:val="22"/>
        </w:rPr>
        <w:t>2013年12月31日净值为0.8394元，自信托计划成立以来，净值累计下跌了16.06%，同期沪深300指数下跌26.31%，本信托计划的累计净值增长率表现强于沪深300指数走势。</w:t>
      </w:r>
    </w:p>
    <w:p w:rsidR="00830828" w:rsidRPr="00830828" w:rsidRDefault="00830828" w:rsidP="00830828">
      <w:pPr>
        <w:widowControl/>
        <w:shd w:val="clear" w:color="auto" w:fill="FFFFFF"/>
        <w:spacing w:line="340" w:lineRule="atLeast"/>
        <w:jc w:val="center"/>
        <w:rPr>
          <w:rFonts w:ascii="微软雅黑" w:eastAsia="微软雅黑" w:hAnsi="微软雅黑" w:cs="宋体" w:hint="eastAsia"/>
          <w:color w:val="333333"/>
          <w:kern w:val="0"/>
          <w:sz w:val="16"/>
          <w:szCs w:val="16"/>
        </w:rPr>
      </w:pPr>
      <w:r>
        <w:rPr>
          <w:rFonts w:ascii="微软雅黑" w:eastAsia="微软雅黑" w:hAnsi="微软雅黑" w:cs="宋体"/>
          <w:noProof/>
          <w:color w:val="333333"/>
          <w:kern w:val="0"/>
          <w:sz w:val="16"/>
          <w:szCs w:val="16"/>
        </w:rPr>
        <w:drawing>
          <wp:inline distT="0" distB="0" distL="0" distR="0">
            <wp:extent cx="5572760" cy="3002280"/>
            <wp:effectExtent l="19050" t="0" r="8890" b="0"/>
            <wp:docPr id="1" name="图片 1" descr="http://www.gdycxt.com/uploads/54cd62ee8db84f228b598f7c7fbafed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dycxt.com/uploads/54cd62ee8db84f228b598f7c7fbafed8.png"/>
                    <pic:cNvPicPr>
                      <a:picLocks noChangeAspect="1" noChangeArrowheads="1"/>
                    </pic:cNvPicPr>
                  </pic:nvPicPr>
                  <pic:blipFill>
                    <a:blip r:embed="rId6"/>
                    <a:srcRect/>
                    <a:stretch>
                      <a:fillRect/>
                    </a:stretch>
                  </pic:blipFill>
                  <pic:spPr bwMode="auto">
                    <a:xfrm>
                      <a:off x="0" y="0"/>
                      <a:ext cx="5572760" cy="3002280"/>
                    </a:xfrm>
                    <a:prstGeom prst="rect">
                      <a:avLst/>
                    </a:prstGeom>
                    <a:noFill/>
                    <a:ln w="9525">
                      <a:noFill/>
                      <a:miter lim="800000"/>
                      <a:headEnd/>
                      <a:tailEnd/>
                    </a:ln>
                  </pic:spPr>
                </pic:pic>
              </a:graphicData>
            </a:graphic>
          </wp:inline>
        </w:drawing>
      </w:r>
    </w:p>
    <w:p w:rsidR="00830828" w:rsidRPr="00830828" w:rsidRDefault="00830828" w:rsidP="00830828">
      <w:pPr>
        <w:widowControl/>
        <w:shd w:val="clear" w:color="auto" w:fill="FFFFFF"/>
        <w:spacing w:line="340" w:lineRule="atLeast"/>
        <w:jc w:val="center"/>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w:t>
      </w:r>
      <w:r w:rsidRPr="00830828">
        <w:rPr>
          <w:rFonts w:ascii="楷体_GB2312" w:eastAsia="楷体_GB2312" w:hAnsi="微软雅黑" w:cs="宋体" w:hint="eastAsia"/>
          <w:color w:val="333333"/>
          <w:kern w:val="0"/>
          <w:sz w:val="18"/>
          <w:szCs w:val="18"/>
        </w:rPr>
        <w:t>注：本图中所用数据为参考净值，参考净值并非估值日准确净值，仅供委托人参考。</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b/>
          <w:bCs/>
          <w:color w:val="333333"/>
          <w:kern w:val="0"/>
          <w:sz w:val="22"/>
        </w:rPr>
        <w:t>五、投资顾问投资分析</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b/>
          <w:bCs/>
          <w:color w:val="333333"/>
          <w:kern w:val="0"/>
          <w:sz w:val="22"/>
        </w:rPr>
        <w:t xml:space="preserve">　　申明：本部分由投资顾问撰写，投资策略并不代表受托人的观点，仅供委托人投资决策参考。</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2013年弹指一挥间很快过去了，回顾全年，市场给予我们久违的希望，2013年是充满希望的一年。无论是资本市场的结构性牛市，还是新一届政府所做的全面深化改革的战略部署，都极大的鼓舞了投资者们的信心。我们同样也对未来中国经济的发展前景以及资本市场的长足发展充满信心！</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前景是光明的，道路是曲折的。我们在满怀希望的同时，对事物发展的曲折性也有相当的认识。尤其对受市场情绪波动较大的资本市场而言，我们更应认清市场的短期和长期的不同驱动因素，警惕可能的风险。下面我们将回顾和总结一下过去一年市场的运行状况和投资得失，整理下2014年的投资思路，期待在新的一年斩获更大的收益以回报投资者。</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（一）2013年市场运行分析。</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2013年市场有个显著特点，就是结构性牛市。创业板指数从最低的505点一路上扬到最高到1424点，涨幅为182%。在同样的时间区间内，上证指数从1960点上涨到2116点，涨幅仅为7.9%。中间还创下了1850点的新低。</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结构性牛市一方面反映了代表社会发展趋势的新经济、新技术、新模式开始率先走出金融危机以来的熊市，而传统经济的行业仍然处于筑底的过程，面临着艰难的去产能和去杠杠的过程。另一方面也反映了资金相对较宽裕。</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2013年表现异常突出的板块有传媒、手游、移动互联网等轻资产板块。另外新能源中的油气装备、光伏板块也表现突出。再就是环保、北斗卫星、军工、自贸区等主题板块也涨幅惊人。在大消费领域里的大众消费品表现很不错。在制造业领域中的机器人等自动化领域表现异常好。其他传统经济板块却表现很是低迷。市场出现了极大的分化，甚至截止到目前还有很多市场参与者在做成长股和价值股之辩。</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与A股指数走势低迷相比，美国、日本和欧洲等发达国家的股市表现却异常牛气。在过去的一年里，美国标准普尔500指数涨幅高达26%，日经225指数涨幅为54%，德国法兰克福DAX指数也涨幅为23%。而发展中国家股市表现普遍低迷，印度孟买sensex指数涨幅为9.7%，巴西圣保罗指数涨幅为-23%，俄罗斯指数涨幅为-10%。出现这种现象与金融危机期间发达国家量化宽松政策有关，目前世界经济开始缓慢复苏，资金有回流发达国家的预期。从这个角度而言，2014年美国实施退出量化宽松的政策可能对发展中国家的冲击会有所削弱。</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（二）瑞天信托计划投资业绩表现和总结。</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2013年瑞天信托计划表现差强人意，各产品净值有所恢复。但是仍未弥补过去两年投资者的亏损，在此我们表示深深的歉意！在新一年里，我们会更加勤奋努力去工作，争取有更大的成绩回馈投资者对我们的信任！经过两年熊市的洗礼，瑞天投资的投资体系变得更加成熟，我们现在相信并且有信心在新一年取得更好的成绩。</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我们建立了更加符合实际操作的风控体系，严格把风险放在第一位。在新的风控体系下，既不会妨碍基金经理的发挥主动能动性，又不会在出现判断失误的情况下又较大损害基金净值。在下半年我们完全发挥了瑞天之前的灵活特性，同时又做到了净值回撤较小。</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在2013年上半年，我们因为错过了2012年底的一波上涨，投资上显得非常谨慎，防守有余而进攻不足。即使是这样，在6月份整个市场暴跌的过程中，我们仍然遭受了损失。进入下半年，我们及时调整投资策略，积极布局估值低，但与宏观经济相关程度较低的行业。这种策略既可以避开涨势较大的创业板高估值，同时又避开了受宏观经济影响较大的传统经济行业。这种策略比较成功，使得我们在下半年指数波动加大的情况，依然维持高仓位并且取得不错的收益。在2013年，我们也犯了一些明显的错误。由于严格控制风险，错失了军工、自贸区等估值较高板块的主题投资机会。这将促使我们反思，我们在后续的投资上，除了遵循严格精选个股外，还将会注重对市场趋势性机会的把握，以期做得更好！</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（三）2014年投资策略。</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1、对未来经济的预判和展望。</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2014年宏观经济的最大变量是政策。众所周知，十八届三中全会的“决定”公布了一系列的改革举措。这些深化改革的举措从根本上将会扭转我们粗放式的经济增长方式，从而调整经济结构，释放我们经济长期增长的潜力。</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虽然这些举措极大得鼓舞了市场的信心，但是改革所带来的短期阵痛是再所难免的。短期最大的风险来源于利率市场化过程中所引发的信用风险。由于在2008年为救助经济释放了天量的流动性，直接导致了地方债规模的迅速膨胀以及房地产价格的快速上涨。当前我国M2规模已经接近GDP的两倍，但是这些存量资金很大部分囤积在以地方政府投融资平台为主体的基础设施建设投资和房地产泡沫为特征的房地产投资上。另外，还有相当比例的存量资金循环在资本密集型的传统制造业上。这些过剩产业在09和10年大规模扩张产能，导致资本开支巨大，很多企业借旧债还新债，甚至滚动借入短期资金来偿还利息。这三大黑洞极大的吞噬着资金，使得央行放水很难蔓延到实体经济中去了。这直接导致了目前我们所面临的奇特现象，即存量资金泛滥，但是实体经济仍然资金饥渴。为了挤压资产泡沫，从而降低金融杠杆比例，央行开始启动利率市场化进程，全面抬升利率中枢。在资金价格上升的过程中，以上所述的地方债、房地产泡沫以及过剩产业面临着资金断裂的风险，杠杆去化的过程中稍有不慎可能引发金融风险。在2013年全年，最打击股票市场的就是6月份和12月份的资金紧张。并且资金紧张在2014年仍将延续。况且美国退出QE政策在2014年会是大概率事件，资金外流将会进一步恶化资金紧张的局面。当然央行将会密切关注资金紧张程度，维持资金较紧而又不至于引起金融风险的状态。</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从股票市场的表现就可以看出，短期资金的紧张对市场冲击更大，中长期资金的紧张反而冲击不大。2013年6月份资金紧张引起股票市场暴跌，而中长期资金价格的抬升是从10月份开始的，抬升幅度也很大，但是对股票市场的冲击反而相对温和。主要的原因在于，短期资金的借入是循环滚动偿还中长期资金的利息。短期资金的紧张直接引起现金流的断裂，而中长期利率的抬升只是增加借贷的利息成本，加大财务费用，短期不至于使得企业现金流断裂而破产。但是从中长期来看，中长期利率中枢的抬升有利于经济结构转型。但耗时可能会更长久些。</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安信证券首席经济学家高善文博士曾论述过资金紧张将会迎来三波冲击，第一波是银行间市场。目前来看就是2013年6月份所引起的银行市场的紧张，直接导致的后果是银行间市场的规范和整顿。第二波是票据贴现市场和理财市场。主要表现为商业银行被迫大量收缩表外资产和票据融资。票据和理财市场会受到强烈冲击。目前来看这波冲击已经在2013年10月份已经发生了。第三波冲击主要是对实体经济的冲击。高企的资金价格最终将会导致过剩产业的兼并重组。目前来看还没有发生，这将会直接导致经济增速的下滑。刚刚公布的2013年12月份中国制造业采购经理人指数PMI为51%，比上月回升0.4个百分点，11月份的PMI已经与10月份持平，终结了连续4个月环比上涨的态势。经济开始有下滑的迹象，值得警惕。</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展望2014年的宏观经济，我们判断政策面的改革措施仍将会持续不断推出，政策面是利好的。但资金面将会维持紧平衡的状态，并且上半年的资金紧张状况将会更加突出。从经济周期上来看，经济将处于新一轮经济增长的起点。</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2、2014年A股市场展望。</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根据上述对宏观经济的判断，我们判断市场将会在改革红利的刺激下，利好不断。市场仍是结构性行情。尤其是在资金紧张的上半年。主题投资和受益于政策利好的板块将会受到关注。但是我们知道，创业板涨幅已经非常巨大，而主题投资板块，比如自贸区、军工、北斗产业链、环保、粮食安全、信息安全等也轮番炒遍。受益于政策红利的国企改革、土地流转、4G建设、移动转售等也涨幅较大。而2014年上半年的宏观经济我们判断存在着下行压力，传统周期性行业仍将困难重重。</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因此，我们判断市场走势可能下半年优于上半年。具体到各个季度而言，我们判断1季度宏观经济基本面面临下行压力，传统周期性行业将会困难重重。但是在高送转、年报真空期以及新股上市的刺激下，市场仍然不会缺乏热点。2季度开始布局成长股，年报过后，成长股开始分化，创业板从2013年10月份开始调整到2014年2季度，调整时间6个月，幅度相对充分。3季度过后，实体经济开始经过调整后企稳回升，经济周期的力量开始拉动市场向上，大盘蓝筹迎来估值修复的上扬行情。</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以上是我们根据现有信息的大致判断。后续走势仍然将会根据新的数据做出修正。另外，虽然市场投资者对当前的宏观经济走势判断不一，分歧显著。但是市场对2014年仍然是结构性行情的观点却非常一致。我们将会更加侧重自下而上精选个股，挖掘结构性机会！</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（四）2014年瑞天投资计划。</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根据以上分析，我们相信2014年是充满希望的一年，但同时我们也相信2014年的钱比2013年更难赚。毕竟2013年的结构性牛市使得很多板块和个股涨幅巨大了。具体到2014年投资计划，我们将会在上半年仍然回避周期性行业，回避资本密集型的高杠杆行业。积极自下而上去寻找一些景气度上升的细分行业龙头，同时重点关注互联网等新经济带来的投资机会，最后需要特别关注的是传统产业在互联网的改造下可能走出的市场机会！行业配置具体如下：</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1、配置医疗服务、器械及高端仿制药等细分板块。医药板块受宏观经济的影响较小。并且受到政策驱动影响较大。医疗服务和器械受益于“以药养医”制度的逐步改变，高端仿制药受益于药品招标制度的改变。</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2、配置品牌消费。消费升级是大势所趋，并且是一个长期的趋势。</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3、配置高端制造。中国是世界制造工厂，中国制造在国际分工中具有比较优势，虽然低端劳动力的优势受到工资上涨有所弱化，但是中国工程师红利才刚刚开始。中国经济结构的转型，从本质上来说是中国制造业的转型。制造业由大变强的过程。</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4、看好移动互联网。移动互联网不是互联网产业的简单延伸，而是真正的互联网，它未来的产值将远远超过当前的互联网。</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5、看好军工、环保、北斗卫星、信息安全产业链。这些板块估值较高，但是属于国家大战略。国家将会长期推动其发展。积极关注政策变化带来的机会。</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6、重点关注传统产业在互联网改造下而转型成功的企业。小米手机的成功可以说是最好的例子，A股很多传统企业已经开始拥抱互联网，积极用互联网去改造自己，率先走出来的企业将会迎来凤凰涅磐的大机会。</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b/>
          <w:bCs/>
          <w:color w:val="333333"/>
          <w:kern w:val="0"/>
          <w:sz w:val="22"/>
        </w:rPr>
        <w:t>六、受托人重要事项变更通知</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（一）信托执行经理变更说明</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无。</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（二）受托人、投资顾问、保管银行及证券经纪人变更说明</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接“粤财信托·瑞天价值成长证券投资集合资金信托计划”的投资顾问（广东瑞天投资管理有限公司）通知，从2014年1月1日起，瑞天价值成长证券投资集合资金信托计划的基金经理由原“李鹏”变更为“龚继海”。李鹏任职广东瑞天投资管理有限公司投资总监职位不变。龚继海先生，31岁，经济学硕士（金融工程专业）。拥有8年证券从业经验。曾任职于国内知名阳光私募公司。2011年加盟广东瑞天投资管理有限公司，担任研究总监；2013年兼任基金经理助理； 2014年1月1日起任基金经理。</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（三）信托资金运用重大变动说明</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无。</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（四）涉及诉讼或者损害信托财产、委托人或者受益人利益的情形</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xml:space="preserve">　　无。</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w:t>
      </w:r>
    </w:p>
    <w:p w:rsidR="00830828" w:rsidRPr="00830828" w:rsidRDefault="00830828" w:rsidP="00830828">
      <w:pPr>
        <w:widowControl/>
        <w:shd w:val="clear" w:color="auto" w:fill="FFFFFF"/>
        <w:spacing w:line="340" w:lineRule="atLeast"/>
        <w:jc w:val="lef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w:t>
      </w:r>
    </w:p>
    <w:p w:rsidR="00830828" w:rsidRPr="00830828" w:rsidRDefault="00830828" w:rsidP="00830828">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广东粤财信托有限公司</w:t>
      </w:r>
    </w:p>
    <w:p w:rsidR="00830828" w:rsidRPr="00830828" w:rsidRDefault="00830828" w:rsidP="00830828">
      <w:pPr>
        <w:widowControl/>
        <w:shd w:val="clear" w:color="auto" w:fill="FFFFFF"/>
        <w:spacing w:line="340" w:lineRule="atLeast"/>
        <w:jc w:val="right"/>
        <w:rPr>
          <w:rFonts w:ascii="微软雅黑" w:eastAsia="微软雅黑" w:hAnsi="微软雅黑" w:cs="宋体" w:hint="eastAsia"/>
          <w:color w:val="333333"/>
          <w:kern w:val="0"/>
          <w:sz w:val="16"/>
          <w:szCs w:val="16"/>
        </w:rPr>
      </w:pPr>
      <w:r w:rsidRPr="00830828">
        <w:rPr>
          <w:rFonts w:ascii="微软雅黑" w:eastAsia="微软雅黑" w:hAnsi="微软雅黑" w:cs="宋体" w:hint="eastAsia"/>
          <w:color w:val="333333"/>
          <w:kern w:val="0"/>
          <w:sz w:val="22"/>
        </w:rPr>
        <w:t>                                     2014年1月8日</w:t>
      </w:r>
    </w:p>
    <w:p w:rsidR="00225B27" w:rsidRDefault="00225B27"/>
    <w:sectPr w:rsidR="00225B2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5B27" w:rsidRDefault="00225B27" w:rsidP="00830828">
      <w:r>
        <w:separator/>
      </w:r>
    </w:p>
  </w:endnote>
  <w:endnote w:type="continuationSeparator" w:id="1">
    <w:p w:rsidR="00225B27" w:rsidRDefault="00225B27" w:rsidP="008308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5B27" w:rsidRDefault="00225B27" w:rsidP="00830828">
      <w:r>
        <w:separator/>
      </w:r>
    </w:p>
  </w:footnote>
  <w:footnote w:type="continuationSeparator" w:id="1">
    <w:p w:rsidR="00225B27" w:rsidRDefault="00225B27" w:rsidP="0083082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30828"/>
    <w:rsid w:val="00225B27"/>
    <w:rsid w:val="008308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3082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30828"/>
    <w:rPr>
      <w:sz w:val="18"/>
      <w:szCs w:val="18"/>
    </w:rPr>
  </w:style>
  <w:style w:type="paragraph" w:styleId="a4">
    <w:name w:val="footer"/>
    <w:basedOn w:val="a"/>
    <w:link w:val="Char0"/>
    <w:uiPriority w:val="99"/>
    <w:semiHidden/>
    <w:unhideWhenUsed/>
    <w:rsid w:val="0083082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30828"/>
    <w:rPr>
      <w:sz w:val="18"/>
      <w:szCs w:val="18"/>
    </w:rPr>
  </w:style>
  <w:style w:type="paragraph" w:styleId="a5">
    <w:name w:val="Normal (Web)"/>
    <w:basedOn w:val="a"/>
    <w:uiPriority w:val="99"/>
    <w:unhideWhenUsed/>
    <w:rsid w:val="00830828"/>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830828"/>
    <w:rPr>
      <w:b/>
      <w:bCs/>
    </w:rPr>
  </w:style>
  <w:style w:type="character" w:customStyle="1" w:styleId="apple-converted-space">
    <w:name w:val="apple-converted-space"/>
    <w:basedOn w:val="a0"/>
    <w:rsid w:val="00830828"/>
  </w:style>
  <w:style w:type="paragraph" w:styleId="a7">
    <w:name w:val="Balloon Text"/>
    <w:basedOn w:val="a"/>
    <w:link w:val="Char1"/>
    <w:uiPriority w:val="99"/>
    <w:semiHidden/>
    <w:unhideWhenUsed/>
    <w:rsid w:val="00830828"/>
    <w:rPr>
      <w:sz w:val="18"/>
      <w:szCs w:val="18"/>
    </w:rPr>
  </w:style>
  <w:style w:type="character" w:customStyle="1" w:styleId="Char1">
    <w:name w:val="批注框文本 Char"/>
    <w:basedOn w:val="a0"/>
    <w:link w:val="a7"/>
    <w:uiPriority w:val="99"/>
    <w:semiHidden/>
    <w:rsid w:val="00830828"/>
    <w:rPr>
      <w:sz w:val="18"/>
      <w:szCs w:val="18"/>
    </w:rPr>
  </w:style>
</w:styles>
</file>

<file path=word/webSettings.xml><?xml version="1.0" encoding="utf-8"?>
<w:webSettings xmlns:r="http://schemas.openxmlformats.org/officeDocument/2006/relationships" xmlns:w="http://schemas.openxmlformats.org/wordprocessingml/2006/main">
  <w:divs>
    <w:div w:id="29574331">
      <w:bodyDiv w:val="1"/>
      <w:marLeft w:val="0"/>
      <w:marRight w:val="0"/>
      <w:marTop w:val="0"/>
      <w:marBottom w:val="0"/>
      <w:divBdr>
        <w:top w:val="none" w:sz="0" w:space="0" w:color="auto"/>
        <w:left w:val="none" w:sz="0" w:space="0" w:color="auto"/>
        <w:bottom w:val="none" w:sz="0" w:space="0" w:color="auto"/>
        <w:right w:val="none" w:sz="0" w:space="0" w:color="auto"/>
      </w:divBdr>
      <w:divsChild>
        <w:div w:id="493185295">
          <w:marLeft w:val="0"/>
          <w:marRight w:val="0"/>
          <w:marTop w:val="0"/>
          <w:marBottom w:val="0"/>
          <w:divBdr>
            <w:top w:val="none" w:sz="0" w:space="0" w:color="auto"/>
            <w:left w:val="none" w:sz="0" w:space="0" w:color="auto"/>
            <w:bottom w:val="none" w:sz="0" w:space="0" w:color="auto"/>
            <w:right w:val="none" w:sz="0" w:space="0" w:color="auto"/>
          </w:divBdr>
          <w:divsChild>
            <w:div w:id="145332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894</Words>
  <Characters>5097</Characters>
  <Application>Microsoft Office Word</Application>
  <DocSecurity>0</DocSecurity>
  <Lines>42</Lines>
  <Paragraphs>11</Paragraphs>
  <ScaleCrop>false</ScaleCrop>
  <Company/>
  <LinksUpToDate>false</LinksUpToDate>
  <CharactersWithSpaces>5980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2014-02-24T06:45:00Z</dcterms:created>
  <dcterms:modified xsi:type="dcterms:W3CDTF">2014-02-24T06:45:00Z</dcterms:modified>
</cp:coreProperties>
</file>