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3B9D" w:rsidRPr="00053B9D" w:rsidRDefault="00053B9D" w:rsidP="00053B9D">
      <w:pPr>
        <w:widowControl/>
        <w:jc w:val="left"/>
        <w:rPr>
          <w:rFonts w:ascii="微软雅黑" w:eastAsia="微软雅黑" w:hAnsi="微软雅黑" w:cs="宋体"/>
          <w:b/>
          <w:bCs/>
          <w:color w:val="0E4B83"/>
          <w:kern w:val="0"/>
          <w:sz w:val="30"/>
          <w:szCs w:val="30"/>
        </w:rPr>
      </w:pPr>
      <w:r w:rsidRPr="00053B9D">
        <w:rPr>
          <w:rFonts w:ascii="微软雅黑" w:eastAsia="微软雅黑" w:hAnsi="微软雅黑" w:cs="宋体" w:hint="eastAsia"/>
          <w:b/>
          <w:bCs/>
          <w:color w:val="0E4B83"/>
          <w:kern w:val="0"/>
          <w:sz w:val="30"/>
          <w:szCs w:val="30"/>
        </w:rPr>
        <w:t>华宸未来-工行-远见15号资产管理计划资产管理合同生效公告</w:t>
      </w:r>
    </w:p>
    <w:p w:rsidR="00053B9D" w:rsidRPr="00053B9D" w:rsidRDefault="00053B9D" w:rsidP="00053B9D">
      <w:pPr>
        <w:widowControl/>
        <w:jc w:val="left"/>
        <w:rPr>
          <w:rFonts w:ascii="微软雅黑" w:eastAsia="微软雅黑" w:hAnsi="微软雅黑" w:cs="宋体" w:hint="eastAsia"/>
          <w:color w:val="333333"/>
          <w:kern w:val="0"/>
          <w:sz w:val="23"/>
          <w:szCs w:val="23"/>
        </w:rPr>
      </w:pPr>
      <w:r w:rsidRPr="00053B9D">
        <w:rPr>
          <w:rFonts w:ascii="微软雅黑" w:eastAsia="微软雅黑" w:hAnsi="微软雅黑" w:cs="宋体" w:hint="eastAsia"/>
          <w:color w:val="333333"/>
          <w:kern w:val="0"/>
          <w:sz w:val="23"/>
          <w:szCs w:val="23"/>
        </w:rPr>
        <w:t xml:space="preserve">来源：2014-02-28 </w:t>
      </w:r>
    </w:p>
    <w:p w:rsidR="00053B9D" w:rsidRPr="00053B9D" w:rsidRDefault="00053B9D" w:rsidP="00053B9D">
      <w:pPr>
        <w:widowControl/>
        <w:spacing w:before="100" w:beforeAutospacing="1" w:after="469" w:line="368" w:lineRule="atLeast"/>
        <w:ind w:firstLine="480"/>
        <w:jc w:val="left"/>
        <w:rPr>
          <w:rFonts w:ascii="微软雅黑" w:eastAsia="微软雅黑" w:hAnsi="微软雅黑" w:cs="宋体" w:hint="eastAsia"/>
          <w:color w:val="333333"/>
          <w:kern w:val="0"/>
          <w:sz w:val="23"/>
          <w:szCs w:val="23"/>
        </w:rPr>
      </w:pPr>
      <w:r w:rsidRPr="00053B9D">
        <w:rPr>
          <w:rFonts w:ascii="微软雅黑" w:eastAsia="微软雅黑" w:hAnsi="微软雅黑" w:cs="宋体" w:hint="eastAsia"/>
          <w:color w:val="333333"/>
          <w:kern w:val="0"/>
          <w:sz w:val="23"/>
          <w:szCs w:val="23"/>
        </w:rPr>
        <w:t>华宸未来-工行-远见15号资产管理计划（以下简称“本计划”）募集工作已经顺利结束,并已经向中国证监会完成备案登记手续。经天职国际会计师事务所验资，本次募集所有资金已于2014年2月27日全额划入本计划托管人工商银行股份有限公司开立的基金托管专户。</w:t>
      </w:r>
    </w:p>
    <w:p w:rsidR="00053B9D" w:rsidRPr="00053B9D" w:rsidRDefault="00053B9D" w:rsidP="00053B9D">
      <w:pPr>
        <w:widowControl/>
        <w:spacing w:before="100" w:beforeAutospacing="1" w:after="469" w:line="368" w:lineRule="atLeast"/>
        <w:ind w:firstLine="480"/>
        <w:jc w:val="left"/>
        <w:rPr>
          <w:rFonts w:ascii="微软雅黑" w:eastAsia="微软雅黑" w:hAnsi="微软雅黑" w:cs="宋体" w:hint="eastAsia"/>
          <w:color w:val="333333"/>
          <w:kern w:val="0"/>
          <w:sz w:val="23"/>
          <w:szCs w:val="23"/>
        </w:rPr>
      </w:pPr>
      <w:r w:rsidRPr="00053B9D">
        <w:rPr>
          <w:rFonts w:ascii="微软雅黑" w:eastAsia="微软雅黑" w:hAnsi="微软雅黑" w:cs="宋体" w:hint="eastAsia"/>
          <w:color w:val="333333"/>
          <w:kern w:val="0"/>
          <w:sz w:val="23"/>
          <w:szCs w:val="23"/>
        </w:rPr>
        <w:t>根据《中华人民共和国证券投资基金法》、《基金管理公司特定客户资产管理业务试点办法》以及《华宸未来-工行-远见15号资产管理计划资产管理合同》、《华宸未来-工行-远见15号资产管理计划投资说明书》的有关规定，本计划募集结果符合有关条件，本计划资产管理人于2014年2月27日向中国证监会办理完毕备案手续，资产管理合同自该日起正式生效。自资产管理合同生效之日起，本计划管理人正式开始管理本计划。</w:t>
      </w:r>
    </w:p>
    <w:p w:rsidR="00053B9D" w:rsidRPr="00053B9D" w:rsidRDefault="00053B9D" w:rsidP="00053B9D">
      <w:pPr>
        <w:widowControl/>
        <w:spacing w:before="100" w:beforeAutospacing="1" w:after="469" w:line="368" w:lineRule="atLeast"/>
        <w:ind w:firstLine="480"/>
        <w:jc w:val="left"/>
        <w:rPr>
          <w:rFonts w:ascii="微软雅黑" w:eastAsia="微软雅黑" w:hAnsi="微软雅黑" w:cs="宋体" w:hint="eastAsia"/>
          <w:color w:val="333333"/>
          <w:kern w:val="0"/>
          <w:sz w:val="23"/>
          <w:szCs w:val="23"/>
        </w:rPr>
      </w:pPr>
      <w:r w:rsidRPr="00053B9D">
        <w:rPr>
          <w:rFonts w:ascii="微软雅黑" w:eastAsia="微软雅黑" w:hAnsi="微软雅黑" w:cs="宋体" w:hint="eastAsia"/>
          <w:color w:val="333333"/>
          <w:kern w:val="0"/>
          <w:sz w:val="23"/>
          <w:szCs w:val="23"/>
        </w:rPr>
        <w:t>本计划份额持有人可以通过本计划管理人客户服务电话（400-920-0699）查询交易确认情况。</w:t>
      </w:r>
    </w:p>
    <w:p w:rsidR="00053B9D" w:rsidRPr="00053B9D" w:rsidRDefault="00053B9D" w:rsidP="00053B9D">
      <w:pPr>
        <w:widowControl/>
        <w:spacing w:before="100" w:beforeAutospacing="1" w:after="469" w:line="368" w:lineRule="atLeast"/>
        <w:ind w:firstLine="480"/>
        <w:jc w:val="left"/>
        <w:rPr>
          <w:rFonts w:ascii="微软雅黑" w:eastAsia="微软雅黑" w:hAnsi="微软雅黑" w:cs="宋体" w:hint="eastAsia"/>
          <w:color w:val="333333"/>
          <w:kern w:val="0"/>
          <w:sz w:val="23"/>
          <w:szCs w:val="23"/>
        </w:rPr>
      </w:pPr>
      <w:r w:rsidRPr="00053B9D">
        <w:rPr>
          <w:rFonts w:ascii="微软雅黑" w:eastAsia="微软雅黑" w:hAnsi="微软雅黑" w:cs="宋体" w:hint="eastAsia"/>
          <w:color w:val="333333"/>
          <w:kern w:val="0"/>
          <w:sz w:val="23"/>
          <w:szCs w:val="23"/>
        </w:rPr>
        <w:t>特此公告。</w:t>
      </w:r>
    </w:p>
    <w:p w:rsidR="00053B9D" w:rsidRPr="00053B9D" w:rsidRDefault="00053B9D" w:rsidP="00053B9D">
      <w:pPr>
        <w:widowControl/>
        <w:spacing w:before="100" w:beforeAutospacing="1" w:after="469" w:line="368" w:lineRule="atLeast"/>
        <w:ind w:firstLine="480"/>
        <w:jc w:val="right"/>
        <w:rPr>
          <w:rFonts w:ascii="微软雅黑" w:eastAsia="微软雅黑" w:hAnsi="微软雅黑" w:cs="宋体" w:hint="eastAsia"/>
          <w:color w:val="333333"/>
          <w:kern w:val="0"/>
          <w:sz w:val="23"/>
          <w:szCs w:val="23"/>
        </w:rPr>
      </w:pPr>
      <w:r w:rsidRPr="00053B9D">
        <w:rPr>
          <w:rFonts w:ascii="微软雅黑" w:eastAsia="微软雅黑" w:hAnsi="微软雅黑" w:cs="宋体" w:hint="eastAsia"/>
          <w:color w:val="333333"/>
          <w:kern w:val="0"/>
          <w:sz w:val="23"/>
          <w:szCs w:val="23"/>
        </w:rPr>
        <w:t>华宸未来基金管理有限公司</w:t>
      </w:r>
    </w:p>
    <w:p w:rsidR="00053B9D" w:rsidRPr="00053B9D" w:rsidRDefault="00053B9D" w:rsidP="00053B9D">
      <w:pPr>
        <w:widowControl/>
        <w:spacing w:before="100" w:beforeAutospacing="1" w:after="469" w:line="368" w:lineRule="atLeast"/>
        <w:ind w:firstLine="480"/>
        <w:jc w:val="right"/>
        <w:rPr>
          <w:rFonts w:ascii="微软雅黑" w:eastAsia="微软雅黑" w:hAnsi="微软雅黑" w:cs="宋体" w:hint="eastAsia"/>
          <w:color w:val="333333"/>
          <w:kern w:val="0"/>
          <w:sz w:val="23"/>
          <w:szCs w:val="23"/>
        </w:rPr>
      </w:pPr>
      <w:r w:rsidRPr="00053B9D">
        <w:rPr>
          <w:rFonts w:ascii="微软雅黑" w:eastAsia="微软雅黑" w:hAnsi="微软雅黑" w:cs="宋体" w:hint="eastAsia"/>
          <w:color w:val="333333"/>
          <w:kern w:val="0"/>
          <w:sz w:val="23"/>
          <w:szCs w:val="23"/>
        </w:rPr>
        <w:t>2014年2月28日</w:t>
      </w:r>
      <w:r w:rsidRPr="00053B9D">
        <w:rPr>
          <w:rFonts w:ascii="微软雅黑" w:eastAsia="微软雅黑" w:hAnsi="微软雅黑" w:cs="宋体" w:hint="eastAsia"/>
          <w:color w:val="333333"/>
          <w:kern w:val="0"/>
          <w:sz w:val="23"/>
          <w:szCs w:val="23"/>
        </w:rPr>
        <w:br/>
        <w:t> </w:t>
      </w:r>
    </w:p>
    <w:p w:rsidR="00053B9D" w:rsidRPr="00053B9D" w:rsidRDefault="00053B9D" w:rsidP="00053B9D">
      <w:pPr>
        <w:widowControl/>
        <w:jc w:val="left"/>
        <w:rPr>
          <w:rFonts w:ascii="微软雅黑" w:eastAsia="微软雅黑" w:hAnsi="微软雅黑" w:cs="宋体" w:hint="eastAsia"/>
          <w:color w:val="666666"/>
          <w:kern w:val="0"/>
          <w:sz w:val="23"/>
          <w:szCs w:val="23"/>
        </w:rPr>
      </w:pPr>
    </w:p>
    <w:p w:rsidR="00053B9D" w:rsidRPr="00053B9D" w:rsidRDefault="00053B9D" w:rsidP="00053B9D">
      <w:pPr>
        <w:widowControl/>
        <w:jc w:val="center"/>
        <w:rPr>
          <w:rFonts w:ascii="微软雅黑" w:eastAsia="微软雅黑" w:hAnsi="微软雅黑" w:cs="宋体" w:hint="eastAsia"/>
          <w:color w:val="000000"/>
          <w:kern w:val="0"/>
          <w:sz w:val="20"/>
          <w:szCs w:val="20"/>
        </w:rPr>
      </w:pPr>
      <w:hyperlink r:id="rId6" w:tgtFrame="_blank" w:tooltip="诚聘英才" w:history="1">
        <w:r w:rsidRPr="00053B9D">
          <w:rPr>
            <w:rFonts w:ascii="微软雅黑" w:eastAsia="微软雅黑" w:hAnsi="微软雅黑" w:cs="宋体" w:hint="eastAsia"/>
            <w:color w:val="666666"/>
            <w:kern w:val="0"/>
            <w:sz w:val="20"/>
            <w:szCs w:val="20"/>
          </w:rPr>
          <w:t>诚聘英才</w:t>
        </w:r>
      </w:hyperlink>
      <w:r w:rsidRPr="00053B9D">
        <w:rPr>
          <w:rFonts w:ascii="微软雅黑" w:eastAsia="微软雅黑" w:hAnsi="微软雅黑" w:cs="宋体" w:hint="eastAsia"/>
          <w:color w:val="000000"/>
          <w:kern w:val="0"/>
          <w:sz w:val="20"/>
          <w:szCs w:val="20"/>
        </w:rPr>
        <w:t>|</w:t>
      </w:r>
      <w:hyperlink r:id="rId7" w:tgtFrame="_blank" w:tooltip="反洗钱专栏" w:history="1">
        <w:r w:rsidRPr="00053B9D">
          <w:rPr>
            <w:rFonts w:ascii="微软雅黑" w:eastAsia="微软雅黑" w:hAnsi="微软雅黑" w:cs="宋体" w:hint="eastAsia"/>
            <w:color w:val="666666"/>
            <w:kern w:val="0"/>
            <w:sz w:val="20"/>
            <w:szCs w:val="20"/>
          </w:rPr>
          <w:t>反洗钱专栏</w:t>
        </w:r>
      </w:hyperlink>
      <w:r w:rsidRPr="00053B9D">
        <w:rPr>
          <w:rFonts w:ascii="微软雅黑" w:eastAsia="微软雅黑" w:hAnsi="微软雅黑" w:cs="宋体" w:hint="eastAsia"/>
          <w:color w:val="000000"/>
          <w:kern w:val="0"/>
          <w:sz w:val="20"/>
          <w:szCs w:val="20"/>
        </w:rPr>
        <w:t>|</w:t>
      </w:r>
      <w:hyperlink r:id="rId8" w:tgtFrame="_blank" w:tooltip="打击非法证券活动" w:history="1">
        <w:r w:rsidRPr="00053B9D">
          <w:rPr>
            <w:rFonts w:ascii="微软雅黑" w:eastAsia="微软雅黑" w:hAnsi="微软雅黑" w:cs="宋体" w:hint="eastAsia"/>
            <w:color w:val="666666"/>
            <w:kern w:val="0"/>
            <w:sz w:val="20"/>
            <w:szCs w:val="20"/>
          </w:rPr>
          <w:t>打击非法证券活动</w:t>
        </w:r>
      </w:hyperlink>
      <w:r w:rsidRPr="00053B9D">
        <w:rPr>
          <w:rFonts w:ascii="微软雅黑" w:eastAsia="微软雅黑" w:hAnsi="微软雅黑" w:cs="宋体" w:hint="eastAsia"/>
          <w:color w:val="000000"/>
          <w:kern w:val="0"/>
          <w:sz w:val="20"/>
          <w:szCs w:val="20"/>
        </w:rPr>
        <w:t>|</w:t>
      </w:r>
      <w:hyperlink r:id="rId9" w:tgtFrame="_blank" w:tooltip="风险提示" w:history="1">
        <w:r w:rsidRPr="00053B9D">
          <w:rPr>
            <w:rFonts w:ascii="微软雅黑" w:eastAsia="微软雅黑" w:hAnsi="微软雅黑" w:cs="宋体" w:hint="eastAsia"/>
            <w:color w:val="666666"/>
            <w:kern w:val="0"/>
            <w:sz w:val="20"/>
            <w:szCs w:val="20"/>
          </w:rPr>
          <w:t>风险提示</w:t>
        </w:r>
      </w:hyperlink>
      <w:r w:rsidRPr="00053B9D">
        <w:rPr>
          <w:rFonts w:ascii="微软雅黑" w:eastAsia="微软雅黑" w:hAnsi="微软雅黑" w:cs="宋体" w:hint="eastAsia"/>
          <w:color w:val="000000"/>
          <w:kern w:val="0"/>
          <w:sz w:val="20"/>
          <w:szCs w:val="20"/>
        </w:rPr>
        <w:t>|</w:t>
      </w:r>
      <w:hyperlink r:id="rId10" w:tgtFrame="_blank" w:tooltip="免责条款" w:history="1">
        <w:r w:rsidRPr="00053B9D">
          <w:rPr>
            <w:rFonts w:ascii="微软雅黑" w:eastAsia="微软雅黑" w:hAnsi="微软雅黑" w:cs="宋体" w:hint="eastAsia"/>
            <w:color w:val="666666"/>
            <w:kern w:val="0"/>
            <w:sz w:val="20"/>
            <w:szCs w:val="20"/>
          </w:rPr>
          <w:t>免责条款</w:t>
        </w:r>
      </w:hyperlink>
      <w:r w:rsidRPr="00053B9D">
        <w:rPr>
          <w:rFonts w:ascii="微软雅黑" w:eastAsia="微软雅黑" w:hAnsi="微软雅黑" w:cs="宋体" w:hint="eastAsia"/>
          <w:color w:val="000000"/>
          <w:kern w:val="0"/>
          <w:sz w:val="20"/>
          <w:szCs w:val="20"/>
        </w:rPr>
        <w:t>|</w:t>
      </w:r>
      <w:hyperlink r:id="rId11" w:tgtFrame="_blank" w:tooltip="网站地图" w:history="1">
        <w:r w:rsidRPr="00053B9D">
          <w:rPr>
            <w:rFonts w:ascii="微软雅黑" w:eastAsia="微软雅黑" w:hAnsi="微软雅黑" w:cs="宋体" w:hint="eastAsia"/>
            <w:color w:val="666666"/>
            <w:kern w:val="0"/>
            <w:sz w:val="20"/>
            <w:szCs w:val="20"/>
          </w:rPr>
          <w:t>网站地图</w:t>
        </w:r>
      </w:hyperlink>
      <w:r w:rsidRPr="00053B9D">
        <w:rPr>
          <w:rFonts w:ascii="微软雅黑" w:eastAsia="微软雅黑" w:hAnsi="微软雅黑" w:cs="宋体" w:hint="eastAsia"/>
          <w:color w:val="000000"/>
          <w:kern w:val="0"/>
          <w:sz w:val="20"/>
          <w:szCs w:val="20"/>
        </w:rPr>
        <w:t>|</w:t>
      </w:r>
      <w:hyperlink r:id="rId12" w:tgtFrame="_blank" w:tooltip="联系我们" w:history="1">
        <w:r w:rsidRPr="00053B9D">
          <w:rPr>
            <w:rFonts w:ascii="微软雅黑" w:eastAsia="微软雅黑" w:hAnsi="微软雅黑" w:cs="宋体" w:hint="eastAsia"/>
            <w:color w:val="666666"/>
            <w:kern w:val="0"/>
            <w:sz w:val="20"/>
            <w:szCs w:val="20"/>
          </w:rPr>
          <w:t>联系我们</w:t>
        </w:r>
      </w:hyperlink>
      <w:r w:rsidRPr="00053B9D">
        <w:rPr>
          <w:rFonts w:ascii="微软雅黑" w:eastAsia="微软雅黑" w:hAnsi="微软雅黑" w:cs="宋体" w:hint="eastAsia"/>
          <w:color w:val="000000"/>
          <w:kern w:val="0"/>
          <w:sz w:val="20"/>
          <w:szCs w:val="20"/>
        </w:rPr>
        <w:t xml:space="preserve"> </w:t>
      </w:r>
    </w:p>
    <w:p w:rsidR="00053B9D" w:rsidRPr="00053B9D" w:rsidRDefault="00053B9D" w:rsidP="00053B9D">
      <w:pPr>
        <w:widowControl/>
        <w:spacing w:line="502" w:lineRule="atLeast"/>
        <w:jc w:val="center"/>
        <w:rPr>
          <w:rFonts w:ascii="微软雅黑" w:eastAsia="微软雅黑" w:hAnsi="微软雅黑" w:cs="宋体" w:hint="eastAsia"/>
          <w:color w:val="666666"/>
          <w:kern w:val="0"/>
          <w:sz w:val="20"/>
          <w:szCs w:val="20"/>
        </w:rPr>
      </w:pPr>
      <w:r w:rsidRPr="00053B9D">
        <w:rPr>
          <w:rFonts w:ascii="微软雅黑" w:eastAsia="微软雅黑" w:hAnsi="微软雅黑" w:cs="宋体" w:hint="eastAsia"/>
          <w:color w:val="666666"/>
          <w:kern w:val="0"/>
          <w:sz w:val="20"/>
          <w:szCs w:val="20"/>
        </w:rPr>
        <w:t>上海市虹口区四川北路859号中信广场16楼  200085400-920-0699  </w:t>
      </w:r>
      <w:r w:rsidRPr="00053B9D">
        <w:rPr>
          <w:rFonts w:ascii="微软雅黑" w:eastAsia="微软雅黑" w:hAnsi="微软雅黑" w:cs="宋体" w:hint="eastAsia"/>
          <w:color w:val="666666"/>
          <w:kern w:val="0"/>
          <w:sz w:val="30"/>
        </w:rPr>
        <w:t>©</w:t>
      </w:r>
      <w:r w:rsidRPr="00053B9D">
        <w:rPr>
          <w:rFonts w:ascii="微软雅黑" w:eastAsia="微软雅黑" w:hAnsi="微软雅黑" w:cs="宋体" w:hint="eastAsia"/>
          <w:color w:val="666666"/>
          <w:kern w:val="0"/>
          <w:sz w:val="20"/>
          <w:szCs w:val="20"/>
        </w:rPr>
        <w:t xml:space="preserve"> 2012 华宸未来基金 版权所有  沪ICP备12025401号 </w:t>
      </w:r>
    </w:p>
    <w:p w:rsidR="00053B9D" w:rsidRPr="00053B9D" w:rsidRDefault="00053B9D" w:rsidP="00053B9D">
      <w:pPr>
        <w:widowControl/>
        <w:spacing w:line="502" w:lineRule="atLeast"/>
        <w:jc w:val="center"/>
        <w:rPr>
          <w:rFonts w:ascii="微软雅黑" w:eastAsia="微软雅黑" w:hAnsi="微软雅黑" w:cs="宋体" w:hint="eastAsia"/>
          <w:vanish/>
          <w:color w:val="666666"/>
          <w:kern w:val="0"/>
          <w:sz w:val="20"/>
          <w:szCs w:val="20"/>
        </w:rPr>
      </w:pPr>
      <w:r w:rsidRPr="00053B9D">
        <w:rPr>
          <w:rFonts w:ascii="微软雅黑" w:eastAsia="微软雅黑" w:hAnsi="微软雅黑" w:cs="宋体" w:hint="eastAsia"/>
          <w:color w:val="666666"/>
          <w:kern w:val="0"/>
          <w:sz w:val="20"/>
          <w:szCs w:val="20"/>
        </w:rPr>
        <w:pict/>
      </w:r>
      <w:r w:rsidRPr="00053B9D">
        <w:rPr>
          <w:rFonts w:ascii="微软雅黑" w:eastAsia="微软雅黑" w:hAnsi="微软雅黑" w:cs="宋体" w:hint="eastAsia"/>
          <w:color w:val="666666"/>
          <w:kern w:val="0"/>
          <w:sz w:val="20"/>
          <w:szCs w:val="20"/>
        </w:rPr>
        <w:pict/>
      </w:r>
      <w:r>
        <w:rPr>
          <w:rFonts w:ascii="微软雅黑" w:eastAsia="微软雅黑" w:hAnsi="微软雅黑" w:cs="宋体"/>
          <w:noProof/>
          <w:vanish/>
          <w:color w:val="666666"/>
          <w:kern w:val="0"/>
          <w:sz w:val="20"/>
          <w:szCs w:val="20"/>
        </w:rPr>
        <w:drawing>
          <wp:inline distT="0" distB="0" distL="0" distR="0">
            <wp:extent cx="191135" cy="191135"/>
            <wp:effectExtent l="19050" t="0" r="0" b="0"/>
            <wp:docPr id="3" name="图片 3" descr="http://eiv.baidu.com/hmt/icon/21.gif">
              <a:hlinkClick xmlns:a="http://schemas.openxmlformats.org/drawingml/2006/main" r:id="rId1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iv.baidu.com/hmt/icon/21.gif">
                      <a:hlinkClick r:id="rId13" tgtFrame="_blank"/>
                    </pic:cNvPr>
                    <pic:cNvPicPr>
                      <a:picLocks noChangeAspect="1" noChangeArrowheads="1"/>
                    </pic:cNvPicPr>
                  </pic:nvPicPr>
                  <pic:blipFill>
                    <a:blip r:embed="rId14"/>
                    <a:srcRect/>
                    <a:stretch>
                      <a:fillRect/>
                    </a:stretch>
                  </pic:blipFill>
                  <pic:spPr bwMode="auto">
                    <a:xfrm>
                      <a:off x="0" y="0"/>
                      <a:ext cx="191135" cy="191135"/>
                    </a:xfrm>
                    <a:prstGeom prst="rect">
                      <a:avLst/>
                    </a:prstGeom>
                    <a:noFill/>
                    <a:ln w="9525">
                      <a:noFill/>
                      <a:miter lim="800000"/>
                      <a:headEnd/>
                      <a:tailEnd/>
                    </a:ln>
                  </pic:spPr>
                </pic:pic>
              </a:graphicData>
            </a:graphic>
          </wp:inline>
        </w:drawing>
      </w:r>
    </w:p>
    <w:p w:rsidR="00C8495B" w:rsidRDefault="00053B9D" w:rsidP="00053B9D">
      <w:r w:rsidRPr="00053B9D">
        <w:rPr>
          <w:rFonts w:ascii="微软雅黑" w:eastAsia="微软雅黑" w:hAnsi="微软雅黑" w:cs="宋体" w:hint="eastAsia"/>
          <w:vanish/>
          <w:color w:val="666666"/>
          <w:kern w:val="0"/>
          <w:sz w:val="20"/>
          <w:szCs w:val="20"/>
        </w:rPr>
        <w:pict/>
      </w:r>
      <w:r w:rsidRPr="00053B9D">
        <w:rPr>
          <w:rFonts w:ascii="微软雅黑" w:eastAsia="微软雅黑" w:hAnsi="微软雅黑" w:cs="宋体" w:hint="eastAsia"/>
          <w:vanish/>
          <w:color w:val="666666"/>
          <w:kern w:val="0"/>
          <w:sz w:val="20"/>
          <w:szCs w:val="20"/>
        </w:rPr>
        <w:pict/>
      </w:r>
    </w:p>
    <w:sectPr w:rsidR="00C8495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495B" w:rsidRDefault="00C8495B" w:rsidP="00053B9D">
      <w:r>
        <w:separator/>
      </w:r>
    </w:p>
  </w:endnote>
  <w:endnote w:type="continuationSeparator" w:id="1">
    <w:p w:rsidR="00C8495B" w:rsidRDefault="00C8495B" w:rsidP="00053B9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495B" w:rsidRDefault="00C8495B" w:rsidP="00053B9D">
      <w:r>
        <w:separator/>
      </w:r>
    </w:p>
  </w:footnote>
  <w:footnote w:type="continuationSeparator" w:id="1">
    <w:p w:rsidR="00C8495B" w:rsidRDefault="00C8495B" w:rsidP="00053B9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53B9D"/>
    <w:rsid w:val="00053B9D"/>
    <w:rsid w:val="00C849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3B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3B9D"/>
    <w:rPr>
      <w:sz w:val="18"/>
      <w:szCs w:val="18"/>
    </w:rPr>
  </w:style>
  <w:style w:type="paragraph" w:styleId="a4">
    <w:name w:val="footer"/>
    <w:basedOn w:val="a"/>
    <w:link w:val="Char0"/>
    <w:uiPriority w:val="99"/>
    <w:semiHidden/>
    <w:unhideWhenUsed/>
    <w:rsid w:val="00053B9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53B9D"/>
    <w:rPr>
      <w:sz w:val="18"/>
      <w:szCs w:val="18"/>
    </w:rPr>
  </w:style>
  <w:style w:type="character" w:customStyle="1" w:styleId="fn-big1">
    <w:name w:val="fn-big1"/>
    <w:basedOn w:val="a0"/>
    <w:rsid w:val="00053B9D"/>
    <w:rPr>
      <w:sz w:val="30"/>
      <w:szCs w:val="30"/>
    </w:rPr>
  </w:style>
</w:styles>
</file>

<file path=word/webSettings.xml><?xml version="1.0" encoding="utf-8"?>
<w:webSettings xmlns:r="http://schemas.openxmlformats.org/officeDocument/2006/relationships" xmlns:w="http://schemas.openxmlformats.org/wordprocessingml/2006/main">
  <w:divs>
    <w:div w:id="839735299">
      <w:marLeft w:val="0"/>
      <w:marRight w:val="0"/>
      <w:marTop w:val="0"/>
      <w:marBottom w:val="0"/>
      <w:divBdr>
        <w:top w:val="none" w:sz="0" w:space="0" w:color="auto"/>
        <w:left w:val="none" w:sz="0" w:space="0" w:color="auto"/>
        <w:bottom w:val="none" w:sz="0" w:space="0" w:color="auto"/>
        <w:right w:val="none" w:sz="0" w:space="0" w:color="auto"/>
      </w:divBdr>
      <w:divsChild>
        <w:div w:id="1650019762">
          <w:marLeft w:val="0"/>
          <w:marRight w:val="0"/>
          <w:marTop w:val="0"/>
          <w:marBottom w:val="0"/>
          <w:divBdr>
            <w:top w:val="none" w:sz="0" w:space="0" w:color="auto"/>
            <w:left w:val="none" w:sz="0" w:space="0" w:color="auto"/>
            <w:bottom w:val="none" w:sz="0" w:space="0" w:color="auto"/>
            <w:right w:val="none" w:sz="0" w:space="0" w:color="auto"/>
          </w:divBdr>
          <w:divsChild>
            <w:div w:id="870609997">
              <w:marLeft w:val="0"/>
              <w:marRight w:val="0"/>
              <w:marTop w:val="0"/>
              <w:marBottom w:val="0"/>
              <w:divBdr>
                <w:top w:val="none" w:sz="0" w:space="0" w:color="auto"/>
                <w:left w:val="none" w:sz="0" w:space="0" w:color="auto"/>
                <w:bottom w:val="none" w:sz="0" w:space="0" w:color="auto"/>
                <w:right w:val="none" w:sz="0" w:space="0" w:color="auto"/>
              </w:divBdr>
              <w:divsChild>
                <w:div w:id="1707296547">
                  <w:marLeft w:val="0"/>
                  <w:marRight w:val="0"/>
                  <w:marTop w:val="0"/>
                  <w:marBottom w:val="0"/>
                  <w:divBdr>
                    <w:top w:val="none" w:sz="0" w:space="0" w:color="auto"/>
                    <w:left w:val="none" w:sz="0" w:space="0" w:color="auto"/>
                    <w:bottom w:val="none" w:sz="0" w:space="0" w:color="auto"/>
                    <w:right w:val="none" w:sz="0" w:space="0" w:color="auto"/>
                  </w:divBdr>
                  <w:divsChild>
                    <w:div w:id="1775980696">
                      <w:marLeft w:val="0"/>
                      <w:marRight w:val="0"/>
                      <w:marTop w:val="0"/>
                      <w:marBottom w:val="0"/>
                      <w:divBdr>
                        <w:top w:val="none" w:sz="0" w:space="0" w:color="auto"/>
                        <w:left w:val="none" w:sz="0" w:space="0" w:color="auto"/>
                        <w:bottom w:val="none" w:sz="0" w:space="0" w:color="auto"/>
                        <w:right w:val="none" w:sz="0" w:space="0" w:color="auto"/>
                      </w:divBdr>
                      <w:divsChild>
                        <w:div w:id="1330253236">
                          <w:marLeft w:val="0"/>
                          <w:marRight w:val="0"/>
                          <w:marTop w:val="117"/>
                          <w:marBottom w:val="117"/>
                          <w:divBdr>
                            <w:top w:val="none" w:sz="0" w:space="0" w:color="auto"/>
                            <w:left w:val="none" w:sz="0" w:space="0" w:color="auto"/>
                            <w:bottom w:val="none" w:sz="0" w:space="0" w:color="auto"/>
                            <w:right w:val="none" w:sz="0" w:space="0" w:color="auto"/>
                          </w:divBdr>
                        </w:div>
                        <w:div w:id="1198422968">
                          <w:marLeft w:val="0"/>
                          <w:marRight w:val="0"/>
                          <w:marTop w:val="0"/>
                          <w:marBottom w:val="385"/>
                          <w:divBdr>
                            <w:top w:val="none" w:sz="0" w:space="0" w:color="auto"/>
                            <w:left w:val="none" w:sz="0" w:space="0" w:color="auto"/>
                            <w:bottom w:val="none" w:sz="0" w:space="0" w:color="auto"/>
                            <w:right w:val="none" w:sz="0" w:space="0" w:color="auto"/>
                          </w:divBdr>
                        </w:div>
                        <w:div w:id="180823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5905468">
          <w:marLeft w:val="0"/>
          <w:marRight w:val="0"/>
          <w:marTop w:val="201"/>
          <w:marBottom w:val="201"/>
          <w:divBdr>
            <w:top w:val="none" w:sz="0" w:space="0" w:color="auto"/>
            <w:left w:val="none" w:sz="0" w:space="0" w:color="auto"/>
            <w:bottom w:val="none" w:sz="0" w:space="0" w:color="auto"/>
            <w:right w:val="none" w:sz="0" w:space="0" w:color="auto"/>
          </w:divBdr>
        </w:div>
        <w:div w:id="2010019222">
          <w:marLeft w:val="0"/>
          <w:marRight w:val="0"/>
          <w:marTop w:val="0"/>
          <w:marBottom w:val="0"/>
          <w:divBdr>
            <w:top w:val="none" w:sz="0" w:space="0" w:color="auto"/>
            <w:left w:val="none" w:sz="0" w:space="0" w:color="auto"/>
            <w:bottom w:val="none" w:sz="0" w:space="0" w:color="auto"/>
            <w:right w:val="none" w:sz="0" w:space="0" w:color="auto"/>
          </w:divBdr>
          <w:divsChild>
            <w:div w:id="204625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hcmiraefund.com/contents/2014/2/28-4658a460171f4c69802028e934f5483a.html" TargetMode="External"/><Relationship Id="rId13" Type="http://schemas.openxmlformats.org/officeDocument/2006/relationships/hyperlink" Target="http://tongji.baidu.com/hm-web/welcome/ico?s=e0b0bdddaf01150532c96af62f30bbfb" TargetMode="External"/><Relationship Id="rId3" Type="http://schemas.openxmlformats.org/officeDocument/2006/relationships/webSettings" Target="webSettings.xml"/><Relationship Id="rId7" Type="http://schemas.openxmlformats.org/officeDocument/2006/relationships/hyperlink" Target="http://www.hcmiraefund.com/fxq/gaikuang/index.html" TargetMode="External"/><Relationship Id="rId12" Type="http://schemas.openxmlformats.org/officeDocument/2006/relationships/hyperlink" Target="http://www.hcmiraefund.com/aboutus/contact/index.html"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hcmiraefund.com/aboutus/job/index.html" TargetMode="External"/><Relationship Id="rId11" Type="http://schemas.openxmlformats.org/officeDocument/2006/relationships/hyperlink" Target="http://www.hcmiraefund.com/sitemap/index.html"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hcmiraefund.com/mianze/index.html" TargetMode="External"/><Relationship Id="rId4" Type="http://schemas.openxmlformats.org/officeDocument/2006/relationships/footnotes" Target="footnotes.xml"/><Relationship Id="rId9" Type="http://schemas.openxmlformats.org/officeDocument/2006/relationships/hyperlink" Target="http://www.hcmiraefund.com/fengxian/index.html" TargetMode="External"/><Relationship Id="rId14"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182</Words>
  <Characters>1039</Characters>
  <Application>Microsoft Office Word</Application>
  <DocSecurity>0</DocSecurity>
  <Lines>8</Lines>
  <Paragraphs>2</Paragraphs>
  <ScaleCrop>false</ScaleCrop>
  <Company/>
  <LinksUpToDate>false</LinksUpToDate>
  <CharactersWithSpaces>1219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2014-06-17T07:16:00Z</dcterms:created>
  <dcterms:modified xsi:type="dcterms:W3CDTF">2014-06-17T07:16:00Z</dcterms:modified>
</cp:coreProperties>
</file>