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100" w:type="dxa"/>
        <w:tblCellSpacing w:w="0" w:type="dxa"/>
        <w:tblCellMar>
          <w:left w:w="0" w:type="dxa"/>
          <w:right w:w="0" w:type="dxa"/>
        </w:tblCellMar>
        <w:tblLook w:val="04A0"/>
      </w:tblPr>
      <w:tblGrid>
        <w:gridCol w:w="11100"/>
      </w:tblGrid>
      <w:tr w:rsidR="00EF4212" w:rsidRPr="00EF4212" w:rsidTr="00EF4212">
        <w:trPr>
          <w:trHeight w:val="750"/>
          <w:tblCellSpacing w:w="0" w:type="dxa"/>
        </w:trPr>
        <w:tc>
          <w:tcPr>
            <w:tcW w:w="0" w:type="auto"/>
            <w:vAlign w:val="center"/>
            <w:hideMark/>
          </w:tcPr>
          <w:p w:rsidR="00EF4212" w:rsidRPr="00EF4212" w:rsidRDefault="00EF4212" w:rsidP="00EF4212">
            <w:pPr>
              <w:widowControl/>
              <w:spacing w:line="330" w:lineRule="atLeast"/>
              <w:jc w:val="center"/>
              <w:rPr>
                <w:rFonts w:ascii="Simsun" w:eastAsia="宋体" w:hAnsi="Simsun" w:cs="宋体"/>
                <w:b/>
                <w:bCs/>
                <w:color w:val="FF8300"/>
                <w:kern w:val="0"/>
                <w:szCs w:val="21"/>
              </w:rPr>
            </w:pPr>
            <w:r w:rsidRPr="00EF4212">
              <w:rPr>
                <w:rFonts w:ascii="Simsun" w:eastAsia="宋体" w:hAnsi="Simsun" w:cs="宋体"/>
                <w:b/>
                <w:bCs/>
                <w:color w:val="FF8300"/>
                <w:kern w:val="0"/>
                <w:szCs w:val="21"/>
              </w:rPr>
              <w:t>华润信托</w:t>
            </w:r>
            <w:r w:rsidRPr="00EF4212">
              <w:rPr>
                <w:rFonts w:ascii="Simsun" w:eastAsia="宋体" w:hAnsi="Simsun" w:cs="宋体"/>
                <w:b/>
                <w:bCs/>
                <w:color w:val="FF8300"/>
                <w:kern w:val="0"/>
                <w:szCs w:val="21"/>
              </w:rPr>
              <w:t>·</w:t>
            </w:r>
            <w:r w:rsidRPr="00EF4212">
              <w:rPr>
                <w:rFonts w:ascii="Simsun" w:eastAsia="宋体" w:hAnsi="Simsun" w:cs="宋体"/>
                <w:b/>
                <w:bCs/>
                <w:color w:val="FF8300"/>
                <w:kern w:val="0"/>
                <w:szCs w:val="21"/>
              </w:rPr>
              <w:t>鼎新</w:t>
            </w:r>
            <w:r w:rsidRPr="00EF4212">
              <w:rPr>
                <w:rFonts w:ascii="Simsun" w:eastAsia="宋体" w:hAnsi="Simsun" w:cs="宋体"/>
                <w:b/>
                <w:bCs/>
                <w:color w:val="FF8300"/>
                <w:kern w:val="0"/>
                <w:szCs w:val="21"/>
              </w:rPr>
              <w:t>88</w:t>
            </w:r>
            <w:r w:rsidRPr="00EF4212">
              <w:rPr>
                <w:rFonts w:ascii="Simsun" w:eastAsia="宋体" w:hAnsi="Simsun" w:cs="宋体"/>
                <w:b/>
                <w:bCs/>
                <w:color w:val="FF8300"/>
                <w:kern w:val="0"/>
                <w:szCs w:val="21"/>
              </w:rPr>
              <w:t>号花伴里项目集合信托计划</w:t>
            </w:r>
            <w:r w:rsidRPr="00EF4212">
              <w:rPr>
                <w:rFonts w:ascii="Simsun" w:eastAsia="宋体" w:hAnsi="Simsun" w:cs="宋体"/>
                <w:b/>
                <w:bCs/>
                <w:color w:val="FF8300"/>
                <w:kern w:val="0"/>
                <w:szCs w:val="21"/>
              </w:rPr>
              <w:t>2014</w:t>
            </w:r>
            <w:r w:rsidRPr="00EF4212">
              <w:rPr>
                <w:rFonts w:ascii="Simsun" w:eastAsia="宋体" w:hAnsi="Simsun" w:cs="宋体"/>
                <w:b/>
                <w:bCs/>
                <w:color w:val="FF8300"/>
                <w:kern w:val="0"/>
                <w:szCs w:val="21"/>
              </w:rPr>
              <w:t>年度第二期管理报告（总第四期）</w:t>
            </w:r>
          </w:p>
        </w:tc>
      </w:tr>
      <w:tr w:rsidR="00EF4212" w:rsidRPr="00EF4212" w:rsidTr="00EF4212">
        <w:trPr>
          <w:trHeight w:val="60"/>
          <w:tblCellSpacing w:w="0" w:type="dxa"/>
        </w:trPr>
        <w:tc>
          <w:tcPr>
            <w:tcW w:w="0" w:type="auto"/>
            <w:vAlign w:val="center"/>
            <w:hideMark/>
          </w:tcPr>
          <w:p w:rsidR="00EF4212" w:rsidRPr="00EF4212" w:rsidRDefault="00EF4212" w:rsidP="00EF4212">
            <w:pPr>
              <w:widowControl/>
              <w:spacing w:line="60" w:lineRule="atLeast"/>
              <w:jc w:val="center"/>
              <w:rPr>
                <w:rFonts w:ascii="Simsun" w:eastAsia="宋体" w:hAnsi="Simsun" w:cs="宋体"/>
                <w:color w:val="000000"/>
                <w:kern w:val="0"/>
                <w:sz w:val="18"/>
                <w:szCs w:val="18"/>
              </w:rPr>
            </w:pPr>
            <w:r>
              <w:rPr>
                <w:rFonts w:ascii="Simsun" w:eastAsia="宋体" w:hAnsi="Simsun" w:cs="宋体" w:hint="eastAsia"/>
                <w:noProof/>
                <w:color w:val="000000"/>
                <w:kern w:val="0"/>
                <w:sz w:val="18"/>
                <w:szCs w:val="18"/>
              </w:rPr>
              <w:drawing>
                <wp:inline distT="0" distB="0" distL="0" distR="0">
                  <wp:extent cx="6905625" cy="38100"/>
                  <wp:effectExtent l="19050" t="0" r="9525"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4"/>
                          <a:srcRect/>
                          <a:stretch>
                            <a:fillRect/>
                          </a:stretch>
                        </pic:blipFill>
                        <pic:spPr bwMode="auto">
                          <a:xfrm>
                            <a:off x="0" y="0"/>
                            <a:ext cx="6905625" cy="38100"/>
                          </a:xfrm>
                          <a:prstGeom prst="rect">
                            <a:avLst/>
                          </a:prstGeom>
                          <a:noFill/>
                          <a:ln w="9525">
                            <a:noFill/>
                            <a:miter lim="800000"/>
                            <a:headEnd/>
                            <a:tailEnd/>
                          </a:ln>
                        </pic:spPr>
                      </pic:pic>
                    </a:graphicData>
                  </a:graphic>
                </wp:inline>
              </w:drawing>
            </w:r>
          </w:p>
        </w:tc>
      </w:tr>
      <w:tr w:rsidR="00EF4212" w:rsidRPr="00EF4212" w:rsidTr="00EF4212">
        <w:trPr>
          <w:trHeight w:val="150"/>
          <w:tblCellSpacing w:w="0" w:type="dxa"/>
        </w:trPr>
        <w:tc>
          <w:tcPr>
            <w:tcW w:w="0" w:type="auto"/>
            <w:vAlign w:val="center"/>
            <w:hideMark/>
          </w:tcPr>
          <w:p w:rsidR="00EF4212" w:rsidRPr="00EF4212" w:rsidRDefault="00EF4212" w:rsidP="00EF4212">
            <w:pPr>
              <w:widowControl/>
              <w:spacing w:line="330" w:lineRule="atLeast"/>
              <w:jc w:val="left"/>
              <w:rPr>
                <w:rFonts w:ascii="Simsun" w:eastAsia="宋体" w:hAnsi="Simsun" w:cs="宋体"/>
                <w:color w:val="000000"/>
                <w:kern w:val="0"/>
                <w:sz w:val="16"/>
                <w:szCs w:val="18"/>
              </w:rPr>
            </w:pPr>
          </w:p>
        </w:tc>
      </w:tr>
      <w:tr w:rsidR="00EF4212" w:rsidRPr="00EF4212" w:rsidTr="00EF4212">
        <w:trPr>
          <w:tblCellSpacing w:w="0" w:type="dxa"/>
        </w:trPr>
        <w:tc>
          <w:tcPr>
            <w:tcW w:w="0" w:type="auto"/>
            <w:vAlign w:val="center"/>
            <w:hideMark/>
          </w:tcPr>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尊敬的委托人暨受益人：</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感谢您投资华润信托的信托产品！</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我司于2013年6月7日发起设立了“华润信托•鼎新88号花伴里项目集合信托计划”（以下简称“本信托”），并作为受托人管理本信托。自本计划成立以来，我司忠实履行受托人恪尽职守、勤勉尽责、谨慎管理的职责，严格履行有关法律、行政法规和本项目信托文件的规定。</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现受托人就2014年3月20日至2014年6月23日（以下简称“报告期间”）的信托事务向委托人及受益人报告如下，并愿就本管理报告中所载资料的真实性、准确性和完整性负责。本管理报告的内容由受托人负责解释。</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b/>
                <w:bCs/>
                <w:color w:val="000000"/>
                <w:spacing w:val="15"/>
                <w:kern w:val="0"/>
                <w:szCs w:val="21"/>
              </w:rPr>
              <w:t>    一、本信托的成立情况</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本信托于2013年6月7日成立。成立详情请见受托人于2013年6月7日出具的信托成立公告。</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b/>
                <w:bCs/>
                <w:color w:val="000000"/>
                <w:spacing w:val="15"/>
                <w:kern w:val="0"/>
                <w:szCs w:val="21"/>
              </w:rPr>
              <w:t>    二、信托财产专户的开立情况</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受托人已为本信托开立本信托财产专户，账户信息如下：</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户名：华润深国投信托有限公司</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账号：3133 0100 8151 500 076</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开户行：珠海华润银行股份有限公司深圳福田支行</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b/>
                <w:bCs/>
                <w:color w:val="000000"/>
                <w:spacing w:val="15"/>
                <w:kern w:val="0"/>
                <w:szCs w:val="21"/>
              </w:rPr>
              <w:t>    三、本信托财产管理与运用情况</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（一）信托资金募集与使用情况</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本信托募集信托资金共计人民币426,523,828元，其中优先级信托资金300,000,000元，劣后级信托资金126,523,828元。</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截至本报告期末，受托人已与相关交易对手签署了《增资合同》、《债权债务确认协议》、《债权转让协议》、《债权转让确认协议》、《股权质押合同》、《保证合同》、《土地抵押合同》、《保管协议》和《管理服务合同》。本信托计划资金已按信托文件的约定用于向佛山市鼎隆基投资发展有限公司（“佛山鼎隆基”）增资，并将增资款用于花伴里雅苑项目（以下简称“目标项目”）的开发建设和佛山鼎隆基的日常经营。</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（二）项目/投资标的/交易对手运行情况</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本报告期内，受托人对佛山鼎隆基经营情况进行了解，收集、整理相关数据和信息，从目前获取的有关信息里，没有发现可能对本信托产生重大不利影响的异常情况，本信托目前进展正常。</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受托人已按信托文件的约定完成对佛山鼎隆基的增资，于2013年6月9日办妥相关工商变更登记手续，并委派董事、监事和财务管理人员各一名参与佛山鼎隆基的日常经营管理。</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目标项目工程进度方面：项目工程1-3期共13座楼体，主体结构全部封顶，开始外墙砌砖、抹灰作业。</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销售进度方面：目标项目1-6座和9-11座预售证已全部取得，核准可预售面积为52790.07平方米；目标项目已于2013年12月28日正式开盘，截至本报告期末，目标项目住宅已完成网签套数164套，签约面积为15626.02平方米；目标项目商铺已完成网签套数3套，签约面积为244.12平方米；目标项目的销售表现较为平稳。</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b/>
                <w:bCs/>
                <w:color w:val="000000"/>
                <w:spacing w:val="15"/>
                <w:kern w:val="0"/>
                <w:szCs w:val="21"/>
              </w:rPr>
              <w:t>    四、信托经理情况说明</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报告期间，本信托由黄小倩、黄太城担任信托经理，报告期间未发生变动。</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b/>
                <w:bCs/>
                <w:color w:val="000000"/>
                <w:spacing w:val="15"/>
                <w:kern w:val="0"/>
                <w:szCs w:val="21"/>
              </w:rPr>
              <w:t>    五、信托财产运用重大变动说明</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报告期间，信托财产运用未发生重大变动。</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b/>
                <w:bCs/>
                <w:color w:val="000000"/>
                <w:spacing w:val="15"/>
                <w:kern w:val="0"/>
                <w:szCs w:val="21"/>
              </w:rPr>
              <w:t>    六、涉及诉讼或者损害信托计划财产、受益人利益的情形</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报告期间，本信托未发生涉及诉讼或损害信托计划财产、受益人利益的情况。</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b/>
                <w:bCs/>
                <w:color w:val="000000"/>
                <w:spacing w:val="15"/>
                <w:kern w:val="0"/>
                <w:szCs w:val="21"/>
              </w:rPr>
              <w:t>    七、报告期间信托收益分配情况</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本信托于每个信托利益核算日计算当期应向优先受益人分配的优先信托利益。本报告期间内信托利益核算日为2014年3月28日、2014年4月14日以及2014年6月21日。</w:t>
            </w:r>
          </w:p>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报告期内，本信托已向投资者进行了5次现金分配，分配情况如下：</w:t>
            </w:r>
          </w:p>
          <w:tbl>
            <w:tblPr>
              <w:tblW w:w="0" w:type="auto"/>
              <w:jc w:val="center"/>
              <w:tblCellMar>
                <w:left w:w="0" w:type="dxa"/>
                <w:right w:w="0" w:type="dxa"/>
              </w:tblCellMar>
              <w:tblLook w:val="04A0"/>
            </w:tblPr>
            <w:tblGrid>
              <w:gridCol w:w="721"/>
              <w:gridCol w:w="3356"/>
              <w:gridCol w:w="2268"/>
              <w:gridCol w:w="2177"/>
            </w:tblGrid>
            <w:tr w:rsidR="00EF4212" w:rsidRPr="00EF4212">
              <w:trPr>
                <w:jc w:val="center"/>
              </w:trPr>
              <w:tc>
                <w:tcPr>
                  <w:tcW w:w="72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b/>
                      <w:bCs/>
                      <w:spacing w:val="15"/>
                      <w:kern w:val="0"/>
                      <w:szCs w:val="21"/>
                    </w:rPr>
                    <w:t>序号</w:t>
                  </w:r>
                </w:p>
              </w:tc>
              <w:tc>
                <w:tcPr>
                  <w:tcW w:w="335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b/>
                      <w:bCs/>
                      <w:spacing w:val="15"/>
                      <w:kern w:val="0"/>
                      <w:szCs w:val="21"/>
                    </w:rPr>
                    <w:t>项目</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b/>
                      <w:bCs/>
                      <w:spacing w:val="15"/>
                      <w:kern w:val="0"/>
                      <w:szCs w:val="21"/>
                    </w:rPr>
                    <w:t>金额（人民币元）</w:t>
                  </w:r>
                </w:p>
              </w:tc>
              <w:tc>
                <w:tcPr>
                  <w:tcW w:w="217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b/>
                      <w:bCs/>
                      <w:spacing w:val="15"/>
                      <w:kern w:val="0"/>
                      <w:szCs w:val="21"/>
                    </w:rPr>
                    <w:t>时间</w:t>
                  </w:r>
                </w:p>
              </w:tc>
            </w:tr>
            <w:tr w:rsidR="00EF4212" w:rsidRPr="00EF4212">
              <w:trPr>
                <w:jc w:val="center"/>
              </w:trPr>
              <w:tc>
                <w:tcPr>
                  <w:tcW w:w="72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1</w:t>
                  </w:r>
                </w:p>
              </w:tc>
              <w:tc>
                <w:tcPr>
                  <w:tcW w:w="3356" w:type="dxa"/>
                  <w:tcBorders>
                    <w:top w:val="nil"/>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分配（优先级）信托单位本金</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50,000,000.00</w:t>
                  </w:r>
                </w:p>
              </w:tc>
              <w:tc>
                <w:tcPr>
                  <w:tcW w:w="2177" w:type="dxa"/>
                  <w:tcBorders>
                    <w:top w:val="nil"/>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2014年3月28日</w:t>
                  </w:r>
                </w:p>
              </w:tc>
            </w:tr>
            <w:tr w:rsidR="00EF4212" w:rsidRPr="00EF4212">
              <w:trPr>
                <w:jc w:val="center"/>
              </w:trPr>
              <w:tc>
                <w:tcPr>
                  <w:tcW w:w="72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2</w:t>
                  </w:r>
                </w:p>
              </w:tc>
              <w:tc>
                <w:tcPr>
                  <w:tcW w:w="3356" w:type="dxa"/>
                  <w:tcBorders>
                    <w:top w:val="nil"/>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分配基本优先信托收益</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1,077,777.78</w:t>
                  </w:r>
                </w:p>
              </w:tc>
              <w:tc>
                <w:tcPr>
                  <w:tcW w:w="2177" w:type="dxa"/>
                  <w:tcBorders>
                    <w:top w:val="nil"/>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2014年3月28日</w:t>
                  </w:r>
                </w:p>
              </w:tc>
            </w:tr>
            <w:tr w:rsidR="00EF4212" w:rsidRPr="00EF4212">
              <w:trPr>
                <w:jc w:val="center"/>
              </w:trPr>
              <w:tc>
                <w:tcPr>
                  <w:tcW w:w="72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3</w:t>
                  </w:r>
                </w:p>
              </w:tc>
              <w:tc>
                <w:tcPr>
                  <w:tcW w:w="3356" w:type="dxa"/>
                  <w:tcBorders>
                    <w:top w:val="nil"/>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分配（优先级）信托单位本金</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50,000,000.00</w:t>
                  </w:r>
                </w:p>
              </w:tc>
              <w:tc>
                <w:tcPr>
                  <w:tcW w:w="2177" w:type="dxa"/>
                  <w:tcBorders>
                    <w:top w:val="nil"/>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2014年4月14日</w:t>
                  </w:r>
                </w:p>
              </w:tc>
            </w:tr>
            <w:tr w:rsidR="00EF4212" w:rsidRPr="00EF4212">
              <w:trPr>
                <w:jc w:val="center"/>
              </w:trPr>
              <w:tc>
                <w:tcPr>
                  <w:tcW w:w="72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4</w:t>
                  </w:r>
                </w:p>
              </w:tc>
              <w:tc>
                <w:tcPr>
                  <w:tcW w:w="3356" w:type="dxa"/>
                  <w:tcBorders>
                    <w:top w:val="nil"/>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分配基本优先信托收益</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1,266,666.67</w:t>
                  </w:r>
                </w:p>
              </w:tc>
              <w:tc>
                <w:tcPr>
                  <w:tcW w:w="2177" w:type="dxa"/>
                  <w:tcBorders>
                    <w:top w:val="nil"/>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2014年4月14日</w:t>
                  </w:r>
                </w:p>
              </w:tc>
            </w:tr>
            <w:tr w:rsidR="00EF4212" w:rsidRPr="00EF4212">
              <w:trPr>
                <w:jc w:val="center"/>
              </w:trPr>
              <w:tc>
                <w:tcPr>
                  <w:tcW w:w="72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5</w:t>
                  </w:r>
                </w:p>
              </w:tc>
              <w:tc>
                <w:tcPr>
                  <w:tcW w:w="3356" w:type="dxa"/>
                  <w:tcBorders>
                    <w:top w:val="nil"/>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分配基本优先信托收益</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7,978,082.13</w:t>
                  </w:r>
                </w:p>
              </w:tc>
              <w:tc>
                <w:tcPr>
                  <w:tcW w:w="2177" w:type="dxa"/>
                  <w:tcBorders>
                    <w:top w:val="nil"/>
                    <w:left w:val="nil"/>
                    <w:bottom w:val="single" w:sz="8" w:space="0" w:color="auto"/>
                    <w:right w:val="single" w:sz="8" w:space="0" w:color="auto"/>
                  </w:tcBorders>
                  <w:tcMar>
                    <w:top w:w="0" w:type="dxa"/>
                    <w:left w:w="108" w:type="dxa"/>
                    <w:bottom w:w="0" w:type="dxa"/>
                    <w:right w:w="108" w:type="dxa"/>
                  </w:tcMar>
                  <w:hideMark/>
                </w:tcPr>
                <w:p w:rsidR="00EF4212" w:rsidRPr="00EF4212" w:rsidRDefault="00EF4212" w:rsidP="00EF4212">
                  <w:pPr>
                    <w:widowControl/>
                    <w:jc w:val="center"/>
                    <w:rPr>
                      <w:rFonts w:ascii="Calibri" w:eastAsia="宋体" w:hAnsi="Calibri" w:cs="Calibri"/>
                      <w:spacing w:val="15"/>
                      <w:kern w:val="0"/>
                      <w:szCs w:val="21"/>
                    </w:rPr>
                  </w:pPr>
                  <w:r w:rsidRPr="00EF4212">
                    <w:rPr>
                      <w:rFonts w:ascii="宋体" w:eastAsia="宋体" w:hAnsi="宋体" w:cs="Calibri" w:hint="eastAsia"/>
                      <w:spacing w:val="15"/>
                      <w:kern w:val="0"/>
                      <w:szCs w:val="21"/>
                    </w:rPr>
                    <w:t>2014年6月23日</w:t>
                  </w:r>
                </w:p>
              </w:tc>
            </w:tr>
          </w:tbl>
          <w:p w:rsidR="00EF4212" w:rsidRPr="00EF4212" w:rsidRDefault="00EF4212" w:rsidP="00EF4212">
            <w:pPr>
              <w:widowControl/>
              <w:rPr>
                <w:rFonts w:ascii="Calibri" w:eastAsia="宋体" w:hAnsi="Calibri" w:cs="Calibri"/>
                <w:color w:val="000000"/>
                <w:spacing w:val="15"/>
                <w:kern w:val="0"/>
                <w:szCs w:val="21"/>
              </w:rPr>
            </w:pPr>
            <w:r w:rsidRPr="00EF4212">
              <w:rPr>
                <w:rFonts w:ascii="宋体" w:eastAsia="宋体" w:hAnsi="宋体" w:cs="Calibri" w:hint="eastAsia"/>
                <w:b/>
                <w:bCs/>
                <w:color w:val="000000"/>
                <w:spacing w:val="15"/>
                <w:kern w:val="0"/>
                <w:szCs w:val="21"/>
              </w:rPr>
              <w:t>    八、其他内容</w:t>
            </w:r>
          </w:p>
          <w:p w:rsidR="00EF4212" w:rsidRPr="00EF4212" w:rsidRDefault="00EF4212" w:rsidP="00EF4212">
            <w:pPr>
              <w:widowControl/>
              <w:spacing w:line="330" w:lineRule="atLeast"/>
              <w:ind w:firstLine="560"/>
              <w:rPr>
                <w:rFonts w:ascii="Calibri" w:eastAsia="宋体" w:hAnsi="Calibri" w:cs="Calibri"/>
                <w:color w:val="000000"/>
                <w:kern w:val="0"/>
                <w:szCs w:val="21"/>
              </w:rPr>
            </w:pPr>
            <w:r w:rsidRPr="00EF4212">
              <w:rPr>
                <w:rFonts w:ascii="宋体" w:eastAsia="宋体" w:hAnsi="宋体" w:cs="Calibri" w:hint="eastAsia"/>
                <w:color w:val="000000"/>
                <w:kern w:val="0"/>
                <w:szCs w:val="21"/>
              </w:rPr>
              <w:t>无。</w:t>
            </w:r>
          </w:p>
          <w:p w:rsidR="00EF4212" w:rsidRPr="00EF4212" w:rsidRDefault="00EF4212" w:rsidP="00EF4212">
            <w:pPr>
              <w:widowControl/>
              <w:spacing w:line="330" w:lineRule="atLeast"/>
              <w:ind w:firstLine="560"/>
              <w:rPr>
                <w:rFonts w:ascii="Calibri" w:eastAsia="宋体" w:hAnsi="Calibri" w:cs="Calibri"/>
                <w:color w:val="000000"/>
                <w:kern w:val="0"/>
                <w:szCs w:val="21"/>
              </w:rPr>
            </w:pPr>
            <w:r w:rsidRPr="00EF4212">
              <w:rPr>
                <w:rFonts w:ascii="宋体" w:eastAsia="宋体" w:hAnsi="宋体" w:cs="Calibri" w:hint="eastAsia"/>
                <w:color w:val="000000"/>
                <w:kern w:val="0"/>
                <w:szCs w:val="21"/>
              </w:rPr>
              <w:t>感谢您对华润信托的一贯支持！</w:t>
            </w:r>
          </w:p>
          <w:p w:rsidR="00EF4212" w:rsidRPr="00EF4212" w:rsidRDefault="00EF4212" w:rsidP="00EF4212">
            <w:pPr>
              <w:widowControl/>
              <w:spacing w:line="330" w:lineRule="atLeast"/>
              <w:ind w:firstLine="560"/>
              <w:rPr>
                <w:rFonts w:ascii="Calibri" w:eastAsia="宋体" w:hAnsi="Calibri" w:cs="Calibri"/>
                <w:color w:val="000000"/>
                <w:kern w:val="0"/>
                <w:szCs w:val="21"/>
              </w:rPr>
            </w:pPr>
            <w:r w:rsidRPr="00EF4212">
              <w:rPr>
                <w:rFonts w:ascii="Calibri" w:eastAsia="宋体" w:hAnsi="Calibri" w:cs="Calibri"/>
                <w:color w:val="000000"/>
                <w:kern w:val="0"/>
                <w:szCs w:val="21"/>
              </w:rPr>
              <w:t> </w:t>
            </w:r>
          </w:p>
          <w:p w:rsidR="00EF4212" w:rsidRPr="00EF4212" w:rsidRDefault="00EF4212" w:rsidP="00EF4212">
            <w:pPr>
              <w:widowControl/>
              <w:spacing w:line="330" w:lineRule="atLeast"/>
              <w:ind w:firstLine="560"/>
              <w:rPr>
                <w:rFonts w:ascii="Calibri" w:eastAsia="宋体" w:hAnsi="Calibri" w:cs="Calibri"/>
                <w:color w:val="000000"/>
                <w:kern w:val="0"/>
                <w:szCs w:val="21"/>
              </w:rPr>
            </w:pPr>
            <w:r w:rsidRPr="00EF4212">
              <w:rPr>
                <w:rFonts w:ascii="宋体" w:eastAsia="宋体" w:hAnsi="宋体" w:cs="Calibri" w:hint="eastAsia"/>
                <w:color w:val="000000"/>
                <w:kern w:val="0"/>
                <w:szCs w:val="21"/>
              </w:rPr>
              <w:t>                         </w:t>
            </w:r>
            <w:r w:rsidRPr="00EF4212">
              <w:rPr>
                <w:rFonts w:ascii="宋体" w:eastAsia="宋体" w:hAnsi="宋体" w:cs="Calibri" w:hint="eastAsia"/>
                <w:color w:val="000000"/>
                <w:kern w:val="0"/>
              </w:rPr>
              <w:t> </w:t>
            </w:r>
            <w:r w:rsidRPr="00EF4212">
              <w:rPr>
                <w:rFonts w:ascii="宋体" w:eastAsia="宋体" w:hAnsi="宋体" w:cs="Calibri" w:hint="eastAsia"/>
                <w:color w:val="000000"/>
                <w:kern w:val="0"/>
                <w:szCs w:val="21"/>
              </w:rPr>
              <w:t> </w:t>
            </w:r>
          </w:p>
          <w:p w:rsidR="00EF4212" w:rsidRPr="00EF4212" w:rsidRDefault="00EF4212" w:rsidP="00EF4212">
            <w:pPr>
              <w:widowControl/>
              <w:jc w:val="right"/>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华润深国投信托有限公司</w:t>
            </w:r>
          </w:p>
          <w:p w:rsidR="00EF4212" w:rsidRPr="00EF4212" w:rsidRDefault="00EF4212" w:rsidP="00EF4212">
            <w:pPr>
              <w:widowControl/>
              <w:jc w:val="right"/>
              <w:rPr>
                <w:rFonts w:ascii="Calibri" w:eastAsia="宋体" w:hAnsi="Calibri" w:cs="Calibri"/>
                <w:color w:val="000000"/>
                <w:spacing w:val="15"/>
                <w:kern w:val="0"/>
                <w:szCs w:val="21"/>
              </w:rPr>
            </w:pPr>
            <w:r w:rsidRPr="00EF4212">
              <w:rPr>
                <w:rFonts w:ascii="宋体" w:eastAsia="宋体" w:hAnsi="宋体" w:cs="Calibri" w:hint="eastAsia"/>
                <w:color w:val="000000"/>
                <w:spacing w:val="15"/>
                <w:kern w:val="0"/>
                <w:szCs w:val="21"/>
              </w:rPr>
              <w:t>                           </w:t>
            </w:r>
            <w:r w:rsidRPr="00EF4212">
              <w:rPr>
                <w:rFonts w:ascii="宋体" w:eastAsia="宋体" w:hAnsi="宋体" w:cs="Calibri" w:hint="eastAsia"/>
                <w:color w:val="000000"/>
                <w:spacing w:val="15"/>
                <w:kern w:val="0"/>
              </w:rPr>
              <w:t> </w:t>
            </w:r>
            <w:r w:rsidRPr="00EF4212">
              <w:rPr>
                <w:rFonts w:ascii="宋体" w:eastAsia="宋体" w:hAnsi="宋体" w:cs="Calibri" w:hint="eastAsia"/>
                <w:color w:val="000000"/>
                <w:spacing w:val="15"/>
                <w:kern w:val="0"/>
                <w:szCs w:val="21"/>
              </w:rPr>
              <w:t>          2014年6月23日</w:t>
            </w:r>
          </w:p>
          <w:p w:rsidR="00EF4212" w:rsidRPr="00EF4212" w:rsidRDefault="00EF4212" w:rsidP="00EF4212">
            <w:pPr>
              <w:widowControl/>
              <w:spacing w:line="330" w:lineRule="atLeast"/>
              <w:rPr>
                <w:rFonts w:ascii="Calibri" w:eastAsia="宋体" w:hAnsi="Calibri" w:cs="Calibri"/>
                <w:color w:val="000000"/>
                <w:kern w:val="0"/>
                <w:szCs w:val="21"/>
              </w:rPr>
            </w:pPr>
            <w:r w:rsidRPr="00EF4212">
              <w:rPr>
                <w:rFonts w:ascii="Calibri" w:eastAsia="宋体" w:hAnsi="Calibri" w:cs="Calibri"/>
                <w:color w:val="000000"/>
                <w:kern w:val="0"/>
                <w:szCs w:val="21"/>
              </w:rPr>
              <w:t> </w:t>
            </w:r>
          </w:p>
        </w:tc>
      </w:tr>
    </w:tbl>
    <w:p w:rsidR="00F37961" w:rsidRDefault="00F37961"/>
    <w:sectPr w:rsidR="00F37961" w:rsidSect="00F3796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F4212"/>
    <w:rsid w:val="00EF4212"/>
    <w:rsid w:val="00F379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79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orb">
    <w:name w:val="or_b"/>
    <w:basedOn w:val="a"/>
    <w:rsid w:val="00EF4212"/>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EF4212"/>
  </w:style>
  <w:style w:type="paragraph" w:styleId="a3">
    <w:name w:val="Balloon Text"/>
    <w:basedOn w:val="a"/>
    <w:link w:val="Char"/>
    <w:uiPriority w:val="99"/>
    <w:semiHidden/>
    <w:unhideWhenUsed/>
    <w:rsid w:val="00EF4212"/>
    <w:rPr>
      <w:sz w:val="18"/>
      <w:szCs w:val="18"/>
    </w:rPr>
  </w:style>
  <w:style w:type="character" w:customStyle="1" w:styleId="Char">
    <w:name w:val="批注框文本 Char"/>
    <w:basedOn w:val="a0"/>
    <w:link w:val="a3"/>
    <w:uiPriority w:val="99"/>
    <w:semiHidden/>
    <w:rsid w:val="00EF4212"/>
    <w:rPr>
      <w:sz w:val="18"/>
      <w:szCs w:val="18"/>
    </w:rPr>
  </w:style>
</w:styles>
</file>

<file path=word/webSettings.xml><?xml version="1.0" encoding="utf-8"?>
<w:webSettings xmlns:r="http://schemas.openxmlformats.org/officeDocument/2006/relationships" xmlns:w="http://schemas.openxmlformats.org/wordprocessingml/2006/main">
  <w:divs>
    <w:div w:id="607854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279</Words>
  <Characters>1591</Characters>
  <Application>Microsoft Office Word</Application>
  <DocSecurity>0</DocSecurity>
  <Lines>13</Lines>
  <Paragraphs>3</Paragraphs>
  <ScaleCrop>false</ScaleCrop>
  <Company/>
  <LinksUpToDate>false</LinksUpToDate>
  <CharactersWithSpaces>1867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2014-07-09T01:58:00Z</dcterms:created>
  <dcterms:modified xsi:type="dcterms:W3CDTF">2014-07-09T01:58:00Z</dcterms:modified>
</cp:coreProperties>
</file>