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00" w:type="pct"/>
        <w:jc w:val="center"/>
        <w:tblCellSpacing w:w="7" w:type="dxa"/>
        <w:shd w:val="clear" w:color="auto" w:fill="FFFFFF"/>
        <w:tblCellMar>
          <w:top w:w="45" w:type="dxa"/>
          <w:left w:w="45" w:type="dxa"/>
          <w:bottom w:w="45" w:type="dxa"/>
          <w:right w:w="45" w:type="dxa"/>
        </w:tblCellMar>
        <w:tblLook w:val="04A0"/>
      </w:tblPr>
      <w:tblGrid>
        <w:gridCol w:w="8087"/>
      </w:tblGrid>
      <w:tr w:rsidR="00DF0B8F" w:rsidRPr="00DF0B8F" w:rsidTr="00DF0B8F">
        <w:trPr>
          <w:trHeight w:val="679"/>
          <w:tblCellSpacing w:w="7" w:type="dxa"/>
          <w:jc w:val="center"/>
        </w:trPr>
        <w:tc>
          <w:tcPr>
            <w:tcW w:w="0" w:type="auto"/>
            <w:shd w:val="clear" w:color="auto" w:fill="FFFFFF"/>
            <w:vAlign w:val="center"/>
            <w:hideMark/>
          </w:tcPr>
          <w:p w:rsidR="00DF0B8F" w:rsidRPr="00DF0B8F" w:rsidRDefault="00DF0B8F" w:rsidP="00DF0B8F">
            <w:pPr>
              <w:widowControl/>
              <w:spacing w:line="340" w:lineRule="atLeast"/>
              <w:jc w:val="center"/>
              <w:rPr>
                <w:rFonts w:ascii="宋体" w:eastAsia="宋体" w:hAnsi="宋体" w:cs="宋体" w:hint="eastAsia"/>
                <w:b/>
                <w:bCs/>
                <w:color w:val="676767"/>
                <w:kern w:val="0"/>
                <w:sz w:val="25"/>
                <w:szCs w:val="25"/>
              </w:rPr>
            </w:pPr>
            <w:r w:rsidRPr="00DF0B8F">
              <w:rPr>
                <w:rFonts w:ascii="宋体" w:eastAsia="宋体" w:hAnsi="宋体" w:cs="宋体" w:hint="eastAsia"/>
                <w:b/>
                <w:bCs/>
                <w:color w:val="676767"/>
                <w:kern w:val="0"/>
                <w:sz w:val="25"/>
                <w:szCs w:val="25"/>
              </w:rPr>
              <w:t>外贸信托•淡水泉精选1期证券投资集合资金信托计划进行股指期货交易的公告</w:t>
            </w:r>
          </w:p>
          <w:p w:rsidR="00DF0B8F" w:rsidRPr="00DF0B8F" w:rsidRDefault="00DF0B8F" w:rsidP="00DF0B8F">
            <w:pPr>
              <w:widowControl/>
              <w:spacing w:line="340" w:lineRule="atLeast"/>
              <w:jc w:val="center"/>
              <w:rPr>
                <w:rFonts w:ascii="宋体" w:eastAsia="宋体" w:hAnsi="宋体" w:cs="宋体"/>
                <w:b/>
                <w:bCs/>
                <w:color w:val="676767"/>
                <w:kern w:val="0"/>
                <w:sz w:val="25"/>
                <w:szCs w:val="25"/>
              </w:rPr>
            </w:pPr>
            <w:r w:rsidRPr="00DF0B8F">
              <w:rPr>
                <w:rFonts w:ascii="宋体" w:eastAsia="宋体" w:hAnsi="宋体" w:cs="宋体" w:hint="eastAsia"/>
                <w:b/>
                <w:bCs/>
                <w:color w:val="676767"/>
                <w:kern w:val="0"/>
                <w:sz w:val="25"/>
                <w:szCs w:val="25"/>
              </w:rPr>
              <w:pict>
                <v:rect id="_x0000_i1025" style="width:0;height:.75pt" o:hrstd="t" o:hrnoshade="t" o:hr="t" fillcolor="#696969" stroked="f"/>
              </w:pict>
            </w:r>
          </w:p>
        </w:tc>
      </w:tr>
      <w:tr w:rsidR="00DF0B8F" w:rsidRPr="00DF0B8F" w:rsidTr="00DF0B8F">
        <w:trPr>
          <w:trHeight w:val="408"/>
          <w:tblCellSpacing w:w="7" w:type="dxa"/>
          <w:jc w:val="center"/>
        </w:trPr>
        <w:tc>
          <w:tcPr>
            <w:tcW w:w="0" w:type="auto"/>
            <w:shd w:val="clear" w:color="auto" w:fill="FFFFFF"/>
            <w:vAlign w:val="center"/>
            <w:hideMark/>
          </w:tcPr>
          <w:p w:rsidR="00DF0B8F" w:rsidRPr="00DF0B8F" w:rsidRDefault="00DF0B8F" w:rsidP="00DF0B8F">
            <w:pPr>
              <w:widowControl/>
              <w:spacing w:line="340" w:lineRule="atLeast"/>
              <w:jc w:val="center"/>
              <w:rPr>
                <w:rFonts w:ascii="宋体" w:eastAsia="宋体" w:hAnsi="宋体" w:cs="宋体"/>
                <w:color w:val="676767"/>
                <w:kern w:val="0"/>
                <w:sz w:val="16"/>
                <w:szCs w:val="16"/>
              </w:rPr>
            </w:pPr>
            <w:r w:rsidRPr="00DF0B8F">
              <w:rPr>
                <w:rFonts w:ascii="宋体" w:eastAsia="宋体" w:hAnsi="宋体" w:cs="宋体" w:hint="eastAsia"/>
                <w:color w:val="676767"/>
                <w:kern w:val="0"/>
                <w:sz w:val="16"/>
                <w:szCs w:val="16"/>
              </w:rPr>
              <w:t xml:space="preserve">　　2014-07-07</w:t>
            </w:r>
          </w:p>
        </w:tc>
      </w:tr>
      <w:tr w:rsidR="00DF0B8F" w:rsidRPr="00DF0B8F" w:rsidTr="00DF0B8F">
        <w:trPr>
          <w:tblCellSpacing w:w="7" w:type="dxa"/>
          <w:jc w:val="center"/>
        </w:trPr>
        <w:tc>
          <w:tcPr>
            <w:tcW w:w="0" w:type="auto"/>
            <w:shd w:val="clear" w:color="auto" w:fill="FFFFFF"/>
            <w:vAlign w:val="center"/>
            <w:hideMark/>
          </w:tcPr>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尊敬的委托人/受益人：</w:t>
            </w:r>
          </w:p>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由中国对外经济贸易信托有限公司发起设立的“外贸信托•淡水泉精选1期证券投资集合资金信托计划”（以下简称“本信托计划”）已于2010年7月5日成立并生效，按照信托合同约定信托财产只限于如下运用方向：投资在上海证券交易所、深圳证券交易所或中国金融期货交易所公开挂牌交易或已经公开发行并即将公开挂牌交易的所有投资产品，银行间债券市场投资品种，以及中国证券业监督管理委员会许可发行的基金，当前和未来可以投资的其他所有投资品种。</w:t>
            </w:r>
          </w:p>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目前本信托计划受托人已取得股指期货投资资格，经本信托计划投资顾问申请，本信托计划拟进行基于套期保值为目的的股指期货投资操作，具体如下：</w:t>
            </w:r>
          </w:p>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1、期货投资策略：</w:t>
            </w:r>
          </w:p>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本信托计划主要采取买入套期保值和卖出套期保值策略，具体如下：</w:t>
            </w:r>
          </w:p>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（1）买入套期保值</w:t>
            </w:r>
          </w:p>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预计未来现货股票价格上涨且需进行现货建仓时，通过先行持有股指期货多头，随后同步增加股票现货多头及平仓持有的股指期货多头头寸，通过上述操作对冲股票建仓过程中的成本上升。</w:t>
            </w:r>
          </w:p>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（2）卖出套期保值</w:t>
            </w:r>
          </w:p>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预计未来现货股票价格下跌且需进行现货平仓操作或希望持有战略性投资股票，通过先行持有股指期货空头头寸，随后同步减少股票现货头寸及平仓持有的股指期货空头头寸，通过上述操作对冲股票价格下跌的风险。</w:t>
            </w:r>
          </w:p>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2、股指期货投资限制：</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（1）持有的卖出股指期货合约价值总额不得超过集合信托计划持有的权益类证券（包括股票、证券投资类基金、权证等）总市值的20%；持有的买入股指期货合约价值总额不得超过信托资产净值的10%。</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（2）本信托计划期货保证金占用占期货账户全部权益（保证金占用与可用资金之和）不得超过40%。</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3、股指期货的估值：对于本信托计划持有的股指期货合约按照中国金融期货交易所对应期货合约当日结算价估值。</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4、期货经纪商及相关费率：本信托计划指定国投中谷期货有限公司担任本信托计划的期货经纪商，并由受托人与期货经纪商协商确定相关交易费率。</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5、股指期货投资的相关风险</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1）基差风险。本信托计划基于套期保值目的对股票资产和股指期货资产进行建仓，会因期货、现货市场的价格波动而获得一定的基差。而当本信托计划在套期保值策略的平仓日对期货、现货头存进行平仓对冲时，因为平仓对冲日与期货合约的到期日不同或者因为本信托计划持有的现货组合与期货合约所对应的现货标的资产不完全一致等原因，期货的价格可能并未收敛至其标的的现货价格，由此对本信托计划的投资产生基差风险，进而影响本信托计划的投资收益。</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2）流动性差异风险。本信托计划持有的股指期货资产和股票等现货资产分别在两个交易场所进行交易，并各自遵守不同的交易规则，可能出现期货资产流动性较好、现货资产流动性相对较差的情况，使得本信托计划的投资策略在执行时，完成了期货资产的投资时而无法完成相应的现货资产投资，使得投资策略失效，进而影响本信托计划的投资收益。</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3）保证金风险。根据股指期货的交易规则，交易所、期货经纪商对本信托计划持有的期货资产进行每日结算，如本信托计划存续期间，本信托计划所持有的股指期货合约价格剧烈波动，本信托计划可能面临保证金不足的情况。如果届时，本信托计划持有的现金资产不足、或不能及时向期货账户补足保证金，即使期货价格最终走势符合预期，本信托计划仍然面临保证金不足而被强行平仓的风险。</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4）强制减仓风险。本信托计划根据各项法律法规及信托文件的约定，对股指期货、股票等资产的投资会设定投资范围、投资比例等限制条件，当本信托计划投资的证券资产超出法律法规及信托文件的约定范围和比例时，受托人会根据信托文件的约定对相应的资产进行减仓甚至平仓处理，进而引起信托计划财产价值的波动。</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5）交易风险。本信托计划将股指期货作为投资标的之一，股指期货交易的复杂性和时效性显著高于股票、基金等现货资产的交易。本信托计划在进行股指期货投资交易时，可能存在因投资顾问、保管人、期货经纪人、交易员等各方面的参与人员交易执行不力而使信托财产出现投资错误甚至投资损失的风险。</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6）系统执行风险。本信托计划同时投资于股指期货和股票等现货资产，投资策略的执行、交易操作的完成均高度依赖于系统。本信托计划在投资交易的过程中，存在因所使用的投资交易系统出现故障、投资顾问及交易员系统使用不当等原因使信托财产出现投资错误甚至投资损失的风险。</w:t>
            </w:r>
          </w:p>
          <w:p w:rsidR="00DF0B8F" w:rsidRPr="00DF0B8F" w:rsidRDefault="00DF0B8F" w:rsidP="00DF0B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受托人将对上述新增投资事项公告30个工作日，若委托人/受益人不认可本次调整，则可于公告期内的开放日（即2014年7月31日）对所持信托份额进行赎回操作，未进行赎回操作的即视为认可本次调整事项。受托人将于公告期满（即2014年8月18日）起开始股指期货相关投资操作。</w:t>
            </w:r>
          </w:p>
          <w:p w:rsidR="00DF0B8F" w:rsidRPr="00DF0B8F" w:rsidRDefault="00DF0B8F" w:rsidP="00DF0B8F">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特此公告。</w:t>
            </w:r>
          </w:p>
          <w:p w:rsidR="00DF0B8F" w:rsidRPr="00DF0B8F" w:rsidRDefault="00DF0B8F" w:rsidP="00DF0B8F">
            <w:pPr>
              <w:widowControl/>
              <w:spacing w:before="100" w:beforeAutospacing="1" w:after="100" w:afterAutospacing="1" w:line="245" w:lineRule="atLeast"/>
              <w:ind w:firstLine="480"/>
              <w:jc w:val="right"/>
              <w:rPr>
                <w:rFonts w:ascii="宋体" w:eastAsia="宋体" w:hAnsi="宋体" w:cs="宋体" w:hint="eastAsia"/>
                <w:color w:val="6E6E6E"/>
                <w:kern w:val="0"/>
                <w:sz w:val="16"/>
                <w:szCs w:val="16"/>
              </w:rPr>
            </w:pPr>
            <w:r w:rsidRPr="00DF0B8F">
              <w:rPr>
                <w:rFonts w:ascii="宋体" w:eastAsia="宋体" w:hAnsi="宋体" w:cs="宋体" w:hint="eastAsia"/>
                <w:color w:val="6E6E6E"/>
                <w:kern w:val="0"/>
                <w:sz w:val="16"/>
                <w:szCs w:val="16"/>
              </w:rPr>
              <w:t>中国对外经济贸易信托有限公司</w:t>
            </w:r>
          </w:p>
          <w:p w:rsidR="00DF0B8F" w:rsidRPr="00DF0B8F" w:rsidRDefault="00DF0B8F" w:rsidP="00DF0B8F">
            <w:pPr>
              <w:widowControl/>
              <w:wordWrap w:val="0"/>
              <w:spacing w:line="245" w:lineRule="atLeast"/>
              <w:ind w:right="280" w:firstLine="480"/>
              <w:jc w:val="right"/>
              <w:rPr>
                <w:rFonts w:ascii="宋体" w:eastAsia="宋体" w:hAnsi="宋体" w:cs="宋体"/>
                <w:color w:val="6E6E6E"/>
                <w:kern w:val="0"/>
                <w:sz w:val="16"/>
                <w:szCs w:val="16"/>
              </w:rPr>
            </w:pPr>
            <w:r w:rsidRPr="00DF0B8F">
              <w:rPr>
                <w:rFonts w:ascii="宋体" w:eastAsia="宋体" w:hAnsi="宋体" w:cs="宋体" w:hint="eastAsia"/>
                <w:color w:val="6E6E6E"/>
                <w:kern w:val="0"/>
                <w:sz w:val="16"/>
                <w:szCs w:val="16"/>
              </w:rPr>
              <w:t>二〇一四年七月八日</w:t>
            </w:r>
          </w:p>
        </w:tc>
      </w:tr>
    </w:tbl>
    <w:p w:rsidR="009A0F4F" w:rsidRDefault="009A0F4F"/>
    <w:sectPr w:rsidR="009A0F4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0F4F" w:rsidRDefault="009A0F4F" w:rsidP="00DF0B8F">
      <w:r>
        <w:separator/>
      </w:r>
    </w:p>
  </w:endnote>
  <w:endnote w:type="continuationSeparator" w:id="1">
    <w:p w:rsidR="009A0F4F" w:rsidRDefault="009A0F4F" w:rsidP="00DF0B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0F4F" w:rsidRDefault="009A0F4F" w:rsidP="00DF0B8F">
      <w:r>
        <w:separator/>
      </w:r>
    </w:p>
  </w:footnote>
  <w:footnote w:type="continuationSeparator" w:id="1">
    <w:p w:rsidR="009A0F4F" w:rsidRDefault="009A0F4F" w:rsidP="00DF0B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0B8F"/>
    <w:rsid w:val="009A0F4F"/>
    <w:rsid w:val="00DF0B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0B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0B8F"/>
    <w:rPr>
      <w:sz w:val="18"/>
      <w:szCs w:val="18"/>
    </w:rPr>
  </w:style>
  <w:style w:type="paragraph" w:styleId="a4">
    <w:name w:val="footer"/>
    <w:basedOn w:val="a"/>
    <w:link w:val="Char0"/>
    <w:uiPriority w:val="99"/>
    <w:semiHidden/>
    <w:unhideWhenUsed/>
    <w:rsid w:val="00DF0B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F0B8F"/>
    <w:rPr>
      <w:sz w:val="18"/>
      <w:szCs w:val="18"/>
    </w:rPr>
  </w:style>
  <w:style w:type="paragraph" w:styleId="a5">
    <w:name w:val="Normal (Web)"/>
    <w:basedOn w:val="a"/>
    <w:uiPriority w:val="99"/>
    <w:unhideWhenUsed/>
    <w:rsid w:val="00DF0B8F"/>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DF0B8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83750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296</Words>
  <Characters>1693</Characters>
  <Application>Microsoft Office Word</Application>
  <DocSecurity>0</DocSecurity>
  <Lines>14</Lines>
  <Paragraphs>3</Paragraphs>
  <ScaleCrop>false</ScaleCrop>
  <Company/>
  <LinksUpToDate>false</LinksUpToDate>
  <CharactersWithSpaces>1986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2014-07-09T07:45:00Z</dcterms:created>
  <dcterms:modified xsi:type="dcterms:W3CDTF">2014-07-09T07:45:00Z</dcterms:modified>
</cp:coreProperties>
</file>