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C87" w:rsidRPr="002A6C87" w:rsidRDefault="002A6C87" w:rsidP="002A6C87">
      <w:pPr>
        <w:widowControl/>
        <w:jc w:val="center"/>
        <w:rPr>
          <w:rFonts w:ascii="宋体" w:eastAsia="宋体" w:hAnsi="宋体" w:cs="宋体"/>
          <w:b/>
          <w:bCs/>
          <w:color w:val="FF8300"/>
          <w:kern w:val="0"/>
          <w:sz w:val="19"/>
          <w:szCs w:val="19"/>
        </w:rPr>
      </w:pPr>
      <w:r w:rsidRPr="002A6C87">
        <w:rPr>
          <w:rFonts w:ascii="宋体" w:eastAsia="宋体" w:hAnsi="宋体" w:cs="宋体"/>
          <w:b/>
          <w:bCs/>
          <w:color w:val="FF8300"/>
          <w:kern w:val="0"/>
          <w:sz w:val="19"/>
          <w:szCs w:val="19"/>
        </w:rPr>
        <w:t>华润信托·万利稳进集合资金信托计划2014第二季度管理计划报告书</w:t>
      </w:r>
    </w:p>
    <w:p w:rsidR="002A6C87" w:rsidRPr="002A6C87" w:rsidRDefault="002A6C87" w:rsidP="002A6C87">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尊敬的委托人暨受益人：</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xml:space="preserve">　　我公司于</w:t>
      </w:r>
      <w:r w:rsidRPr="002A6C87">
        <w:rPr>
          <w:rFonts w:ascii="Times New Roman" w:eastAsia="宋体" w:hAnsi="Times New Roman" w:cs="Times New Roman"/>
          <w:spacing w:val="14"/>
          <w:kern w:val="0"/>
          <w:szCs w:val="21"/>
        </w:rPr>
        <w:t>2013</w:t>
      </w:r>
      <w:r w:rsidRPr="002A6C87">
        <w:rPr>
          <w:rFonts w:ascii="宋体" w:eastAsia="宋体" w:hAnsi="宋体" w:cs="Times New Roman" w:hint="eastAsia"/>
          <w:spacing w:val="14"/>
          <w:kern w:val="0"/>
          <w:szCs w:val="21"/>
        </w:rPr>
        <w:t>年</w:t>
      </w:r>
      <w:r w:rsidRPr="002A6C87">
        <w:rPr>
          <w:rFonts w:ascii="Times New Roman" w:eastAsia="宋体" w:hAnsi="Times New Roman" w:cs="Times New Roman"/>
          <w:spacing w:val="14"/>
          <w:kern w:val="0"/>
          <w:szCs w:val="21"/>
        </w:rPr>
        <w:t>11</w:t>
      </w:r>
      <w:r w:rsidRPr="002A6C87">
        <w:rPr>
          <w:rFonts w:ascii="宋体" w:eastAsia="宋体" w:hAnsi="宋体" w:cs="Times New Roman" w:hint="eastAsia"/>
          <w:spacing w:val="14"/>
          <w:kern w:val="0"/>
          <w:szCs w:val="21"/>
        </w:rPr>
        <w:t>月</w:t>
      </w:r>
      <w:r w:rsidRPr="002A6C87">
        <w:rPr>
          <w:rFonts w:ascii="Times New Roman" w:eastAsia="宋体" w:hAnsi="Times New Roman" w:cs="Times New Roman"/>
          <w:spacing w:val="14"/>
          <w:kern w:val="0"/>
          <w:szCs w:val="21"/>
        </w:rPr>
        <w:t>19</w:t>
      </w:r>
      <w:r w:rsidRPr="002A6C87">
        <w:rPr>
          <w:rFonts w:ascii="宋体" w:eastAsia="宋体" w:hAnsi="宋体" w:cs="Times New Roman" w:hint="eastAsia"/>
          <w:spacing w:val="14"/>
          <w:kern w:val="0"/>
          <w:szCs w:val="21"/>
        </w:rPr>
        <w:t>日发起设立了“华润信托</w:t>
      </w:r>
      <w:r w:rsidRPr="002A6C87">
        <w:rPr>
          <w:rFonts w:ascii="Times New Roman" w:eastAsia="宋体" w:hAnsi="Times New Roman" w:cs="Times New Roman"/>
          <w:spacing w:val="14"/>
          <w:kern w:val="0"/>
          <w:szCs w:val="21"/>
        </w:rPr>
        <w:t>·</w:t>
      </w:r>
      <w:r w:rsidRPr="002A6C87">
        <w:rPr>
          <w:rFonts w:ascii="宋体" w:eastAsia="宋体" w:hAnsi="宋体" w:cs="Times New Roman" w:hint="eastAsia"/>
          <w:spacing w:val="14"/>
          <w:kern w:val="0"/>
          <w:szCs w:val="21"/>
        </w:rPr>
        <w:t>万利稳进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2A6C87">
        <w:rPr>
          <w:rFonts w:ascii="Times New Roman" w:eastAsia="宋体" w:hAnsi="Times New Roman" w:cs="Times New Roman"/>
          <w:spacing w:val="14"/>
          <w:kern w:val="0"/>
        </w:rPr>
        <w:t> </w:t>
      </w:r>
      <w:r w:rsidRPr="002A6C87">
        <w:rPr>
          <w:rFonts w:ascii="宋体" w:eastAsia="宋体" w:hAnsi="宋体" w:cs="Times New Roman" w:hint="eastAsia"/>
          <w:spacing w:val="14"/>
          <w:kern w:val="0"/>
          <w:szCs w:val="21"/>
        </w:rPr>
        <w:t xml:space="preserve">　</w:t>
      </w:r>
    </w:p>
    <w:p w:rsidR="002A6C87" w:rsidRPr="002A6C87" w:rsidRDefault="002A6C87" w:rsidP="002A6C87">
      <w:pPr>
        <w:widowControl/>
        <w:spacing w:before="14" w:after="14"/>
        <w:rPr>
          <w:rFonts w:ascii="Times New Roman" w:eastAsia="宋体" w:hAnsi="Times New Roman" w:cs="Times New Roman"/>
          <w:spacing w:val="14"/>
          <w:kern w:val="0"/>
          <w:szCs w:val="21"/>
        </w:rPr>
      </w:pPr>
      <w:r w:rsidRPr="002A6C87">
        <w:rPr>
          <w:rFonts w:ascii="Times New Roman" w:eastAsia="宋体" w:hAnsi="Times New Roman" w:cs="Times New Roman"/>
          <w:spacing w:val="14"/>
          <w:kern w:val="0"/>
          <w:szCs w:val="21"/>
        </w:rPr>
        <w:t> </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一、信托成立和保管账户开立情况</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本信托于</w:t>
      </w:r>
      <w:r w:rsidRPr="002A6C87">
        <w:rPr>
          <w:rFonts w:ascii="Times New Roman" w:eastAsia="宋体" w:hAnsi="Times New Roman" w:cs="Times New Roman"/>
          <w:spacing w:val="14"/>
          <w:kern w:val="0"/>
          <w:szCs w:val="21"/>
        </w:rPr>
        <w:t>2013</w:t>
      </w:r>
      <w:r w:rsidRPr="002A6C87">
        <w:rPr>
          <w:rFonts w:ascii="宋体" w:eastAsia="宋体" w:hAnsi="宋体" w:cs="Times New Roman" w:hint="eastAsia"/>
          <w:spacing w:val="14"/>
          <w:kern w:val="0"/>
          <w:szCs w:val="21"/>
        </w:rPr>
        <w:t>年</w:t>
      </w:r>
      <w:r w:rsidRPr="002A6C87">
        <w:rPr>
          <w:rFonts w:ascii="Times New Roman" w:eastAsia="宋体" w:hAnsi="Times New Roman" w:cs="Times New Roman"/>
          <w:spacing w:val="14"/>
          <w:kern w:val="0"/>
          <w:szCs w:val="21"/>
        </w:rPr>
        <w:t>11</w:t>
      </w:r>
      <w:r w:rsidRPr="002A6C87">
        <w:rPr>
          <w:rFonts w:ascii="宋体" w:eastAsia="宋体" w:hAnsi="宋体" w:cs="Times New Roman" w:hint="eastAsia"/>
          <w:spacing w:val="14"/>
          <w:kern w:val="0"/>
          <w:szCs w:val="21"/>
        </w:rPr>
        <w:t>月</w:t>
      </w:r>
      <w:r w:rsidRPr="002A6C87">
        <w:rPr>
          <w:rFonts w:ascii="Times New Roman" w:eastAsia="宋体" w:hAnsi="Times New Roman" w:cs="Times New Roman"/>
          <w:spacing w:val="14"/>
          <w:kern w:val="0"/>
          <w:szCs w:val="21"/>
        </w:rPr>
        <w:t>19</w:t>
      </w:r>
      <w:r w:rsidRPr="002A6C87">
        <w:rPr>
          <w:rFonts w:ascii="宋体" w:eastAsia="宋体" w:hAnsi="宋体" w:cs="Times New Roman" w:hint="eastAsia"/>
          <w:spacing w:val="14"/>
          <w:kern w:val="0"/>
          <w:szCs w:val="21"/>
        </w:rPr>
        <w:t>日成立。</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本信托在保管银行开立了信托计划专用银行账户，该账户在信托计划存续期内不可撤销。</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二、信托资金运用情况</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受托人在本信托成立之后按本信托的要求将信托财产以以下方式运用：</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（2）未投资的信托计划资金仅限存放于信托计划专户。</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三、信托收益情况</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1．信托计划风险监控情况</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截止到</w:t>
      </w:r>
      <w:r w:rsidRPr="002A6C87">
        <w:rPr>
          <w:rFonts w:ascii="Times New Roman" w:eastAsia="宋体" w:hAnsi="Times New Roman" w:cs="Times New Roman"/>
          <w:spacing w:val="14"/>
          <w:kern w:val="0"/>
          <w:szCs w:val="21"/>
        </w:rPr>
        <w:t>2014</w:t>
      </w:r>
      <w:r w:rsidRPr="002A6C87">
        <w:rPr>
          <w:rFonts w:ascii="宋体" w:eastAsia="宋体" w:hAnsi="宋体" w:cs="Times New Roman" w:hint="eastAsia"/>
          <w:spacing w:val="14"/>
          <w:kern w:val="0"/>
          <w:szCs w:val="21"/>
        </w:rPr>
        <w:t>年</w:t>
      </w:r>
      <w:r w:rsidRPr="002A6C87">
        <w:rPr>
          <w:rFonts w:ascii="Times New Roman" w:eastAsia="宋体" w:hAnsi="Times New Roman" w:cs="Times New Roman"/>
          <w:spacing w:val="14"/>
          <w:kern w:val="0"/>
          <w:szCs w:val="21"/>
        </w:rPr>
        <w:t>6</w:t>
      </w:r>
      <w:r w:rsidRPr="002A6C87">
        <w:rPr>
          <w:rFonts w:ascii="宋体" w:eastAsia="宋体" w:hAnsi="宋体" w:cs="Times New Roman" w:hint="eastAsia"/>
          <w:spacing w:val="14"/>
          <w:kern w:val="0"/>
          <w:szCs w:val="21"/>
        </w:rPr>
        <w:t>月</w:t>
      </w:r>
      <w:r w:rsidRPr="002A6C87">
        <w:rPr>
          <w:rFonts w:ascii="Times New Roman" w:eastAsia="宋体" w:hAnsi="Times New Roman" w:cs="Times New Roman"/>
          <w:spacing w:val="14"/>
          <w:kern w:val="0"/>
          <w:szCs w:val="21"/>
        </w:rPr>
        <w:t>30</w:t>
      </w:r>
      <w:r w:rsidRPr="002A6C87">
        <w:rPr>
          <w:rFonts w:ascii="宋体" w:eastAsia="宋体" w:hAnsi="宋体" w:cs="Times New Roman" w:hint="eastAsia"/>
          <w:spacing w:val="14"/>
          <w:kern w:val="0"/>
          <w:szCs w:val="21"/>
        </w:rPr>
        <w:t>日收盘时，本信托计划单位净值为</w:t>
      </w:r>
      <w:r w:rsidRPr="002A6C87">
        <w:rPr>
          <w:rFonts w:ascii="Times New Roman" w:eastAsia="宋体" w:hAnsi="Times New Roman" w:cs="Times New Roman"/>
          <w:spacing w:val="14"/>
          <w:kern w:val="0"/>
          <w:szCs w:val="21"/>
        </w:rPr>
        <w:t>1.0256</w:t>
      </w:r>
      <w:r w:rsidRPr="002A6C87">
        <w:rPr>
          <w:rFonts w:ascii="宋体" w:eastAsia="宋体" w:hAnsi="宋体" w:cs="Times New Roman" w:hint="eastAsia"/>
          <w:spacing w:val="14"/>
          <w:kern w:val="0"/>
          <w:szCs w:val="21"/>
        </w:rPr>
        <w:t>元。</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2．信托计划利益的分配</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暂无信托利益分配情况。</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w:t>
      </w:r>
      <w:r w:rsidRPr="002A6C87">
        <w:rPr>
          <w:rFonts w:ascii="宋体" w:eastAsia="宋体" w:hAnsi="宋体" w:cs="Times New Roman" w:hint="eastAsia"/>
          <w:spacing w:val="14"/>
          <w:kern w:val="0"/>
        </w:rPr>
        <w:t> </w:t>
      </w:r>
      <w:r w:rsidRPr="002A6C87">
        <w:rPr>
          <w:rFonts w:ascii="宋体" w:eastAsia="宋体" w:hAnsi="宋体" w:cs="Times New Roman" w:hint="eastAsia"/>
          <w:spacing w:val="14"/>
          <w:kern w:val="0"/>
          <w:szCs w:val="21"/>
        </w:rPr>
        <w:t>四、重大事项披露</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见公司其他公告信息</w:t>
      </w:r>
      <w:r w:rsidRPr="002A6C87">
        <w:rPr>
          <w:rFonts w:ascii="Times New Roman" w:eastAsia="宋体" w:hAnsi="Times New Roman" w:cs="Times New Roman"/>
          <w:spacing w:val="14"/>
          <w:kern w:val="0"/>
        </w:rPr>
        <w:t> </w:t>
      </w:r>
      <w:r w:rsidRPr="002A6C87">
        <w:rPr>
          <w:rFonts w:ascii="宋体" w:eastAsia="宋体" w:hAnsi="宋体" w:cs="Times New Roman" w:hint="eastAsia"/>
          <w:spacing w:val="14"/>
          <w:kern w:val="0"/>
          <w:szCs w:val="21"/>
        </w:rPr>
        <w:t>。</w:t>
      </w:r>
    </w:p>
    <w:p w:rsidR="002A6C87" w:rsidRPr="002A6C87" w:rsidRDefault="002A6C87" w:rsidP="002A6C87">
      <w:pPr>
        <w:widowControl/>
        <w:spacing w:before="14" w:after="14"/>
        <w:rPr>
          <w:rFonts w:ascii="Times New Roman" w:eastAsia="宋体" w:hAnsi="Times New Roman" w:cs="Times New Roman"/>
          <w:spacing w:val="14"/>
          <w:kern w:val="0"/>
          <w:szCs w:val="21"/>
        </w:rPr>
      </w:pPr>
      <w:r w:rsidRPr="002A6C87">
        <w:rPr>
          <w:rFonts w:ascii="Times New Roman" w:eastAsia="宋体" w:hAnsi="Times New Roman" w:cs="Times New Roman"/>
          <w:spacing w:val="14"/>
          <w:kern w:val="0"/>
          <w:szCs w:val="21"/>
        </w:rPr>
        <w:t> </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2A6C87" w:rsidRPr="002A6C87" w:rsidRDefault="002A6C87" w:rsidP="002A6C87">
      <w:pPr>
        <w:widowControl/>
        <w:spacing w:before="14" w:after="14"/>
        <w:rPr>
          <w:rFonts w:ascii="Times New Roman" w:eastAsia="宋体" w:hAnsi="Times New Roman" w:cs="Times New Roman"/>
          <w:spacing w:val="14"/>
          <w:kern w:val="0"/>
          <w:szCs w:val="21"/>
        </w:rPr>
      </w:pPr>
      <w:r w:rsidRPr="002A6C87">
        <w:rPr>
          <w:rFonts w:ascii="Times New Roman" w:eastAsia="宋体" w:hAnsi="Times New Roman" w:cs="Times New Roman"/>
          <w:spacing w:val="14"/>
          <w:kern w:val="0"/>
          <w:szCs w:val="21"/>
        </w:rPr>
        <w:t> </w:t>
      </w:r>
    </w:p>
    <w:p w:rsidR="002A6C87" w:rsidRPr="002A6C87" w:rsidRDefault="002A6C87" w:rsidP="002A6C87">
      <w:pPr>
        <w:widowControl/>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特此公告。</w:t>
      </w:r>
    </w:p>
    <w:p w:rsidR="002A6C87" w:rsidRPr="002A6C87" w:rsidRDefault="002A6C87" w:rsidP="002A6C87">
      <w:pPr>
        <w:widowControl/>
        <w:spacing w:before="14" w:after="14"/>
        <w:rPr>
          <w:rFonts w:ascii="Times New Roman" w:eastAsia="宋体" w:hAnsi="Times New Roman" w:cs="Times New Roman"/>
          <w:spacing w:val="14"/>
          <w:kern w:val="0"/>
          <w:szCs w:val="21"/>
        </w:rPr>
      </w:pPr>
      <w:r w:rsidRPr="002A6C87">
        <w:rPr>
          <w:rFonts w:ascii="Times New Roman" w:eastAsia="宋体" w:hAnsi="Times New Roman" w:cs="Times New Roman"/>
          <w:spacing w:val="14"/>
          <w:kern w:val="0"/>
          <w:szCs w:val="21"/>
        </w:rPr>
        <w:t> </w:t>
      </w:r>
    </w:p>
    <w:p w:rsidR="002A6C87" w:rsidRPr="002A6C87" w:rsidRDefault="002A6C87" w:rsidP="002A6C87">
      <w:pPr>
        <w:widowControl/>
        <w:spacing w:before="14" w:after="14"/>
        <w:rPr>
          <w:rFonts w:ascii="Times New Roman" w:eastAsia="宋体" w:hAnsi="Times New Roman" w:cs="Times New Roman"/>
          <w:spacing w:val="14"/>
          <w:kern w:val="0"/>
          <w:szCs w:val="21"/>
        </w:rPr>
      </w:pPr>
      <w:r w:rsidRPr="002A6C87">
        <w:rPr>
          <w:rFonts w:ascii="Times New Roman" w:eastAsia="宋体" w:hAnsi="Times New Roman" w:cs="Times New Roman"/>
          <w:spacing w:val="14"/>
          <w:kern w:val="0"/>
          <w:szCs w:val="21"/>
        </w:rPr>
        <w:t> </w:t>
      </w:r>
    </w:p>
    <w:p w:rsidR="002A6C87" w:rsidRPr="002A6C87" w:rsidRDefault="002A6C87" w:rsidP="002A6C87">
      <w:pPr>
        <w:widowControl/>
        <w:jc w:val="right"/>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xml:space="preserve">　　　　　　　　　　　　　　　　　　　</w:t>
      </w:r>
      <w:r w:rsidRPr="002A6C87">
        <w:rPr>
          <w:rFonts w:ascii="Times New Roman" w:eastAsia="宋体" w:hAnsi="Times New Roman" w:cs="Times New Roman"/>
          <w:spacing w:val="14"/>
          <w:kern w:val="0"/>
          <w:szCs w:val="21"/>
        </w:rPr>
        <w:t>                </w:t>
      </w:r>
      <w:r w:rsidRPr="002A6C87">
        <w:rPr>
          <w:rFonts w:ascii="Times New Roman" w:eastAsia="宋体" w:hAnsi="Times New Roman" w:cs="Times New Roman"/>
          <w:spacing w:val="14"/>
          <w:kern w:val="0"/>
        </w:rPr>
        <w:t> </w:t>
      </w:r>
      <w:r w:rsidRPr="002A6C87">
        <w:rPr>
          <w:rFonts w:ascii="宋体" w:eastAsia="宋体" w:hAnsi="宋体" w:cs="Times New Roman" w:hint="eastAsia"/>
          <w:spacing w:val="14"/>
          <w:kern w:val="0"/>
          <w:szCs w:val="21"/>
        </w:rPr>
        <w:t>华润深国投信托有限公司</w:t>
      </w:r>
    </w:p>
    <w:p w:rsidR="002A6C87" w:rsidRPr="002A6C87" w:rsidRDefault="002A6C87" w:rsidP="002A6C87">
      <w:pPr>
        <w:widowControl/>
        <w:jc w:val="right"/>
        <w:rPr>
          <w:rFonts w:ascii="Times New Roman" w:eastAsia="宋体" w:hAnsi="Times New Roman" w:cs="Times New Roman"/>
          <w:spacing w:val="14"/>
          <w:kern w:val="0"/>
          <w:szCs w:val="21"/>
        </w:rPr>
      </w:pPr>
      <w:r w:rsidRPr="002A6C87">
        <w:rPr>
          <w:rFonts w:ascii="宋体" w:eastAsia="宋体" w:hAnsi="宋体" w:cs="Times New Roman" w:hint="eastAsia"/>
          <w:spacing w:val="14"/>
          <w:kern w:val="0"/>
          <w:szCs w:val="21"/>
        </w:rPr>
        <w:t xml:space="preserve">　　　　　　　　　　　　　　　　　　　　　</w:t>
      </w:r>
      <w:r w:rsidRPr="002A6C87">
        <w:rPr>
          <w:rFonts w:ascii="Times New Roman" w:eastAsia="宋体" w:hAnsi="Times New Roman" w:cs="Times New Roman"/>
          <w:spacing w:val="14"/>
          <w:kern w:val="0"/>
          <w:szCs w:val="21"/>
        </w:rPr>
        <w:t>                 2014</w:t>
      </w:r>
      <w:r w:rsidRPr="002A6C87">
        <w:rPr>
          <w:rFonts w:ascii="宋体" w:eastAsia="宋体" w:hAnsi="宋体" w:cs="Times New Roman" w:hint="eastAsia"/>
          <w:spacing w:val="14"/>
          <w:kern w:val="0"/>
          <w:szCs w:val="21"/>
        </w:rPr>
        <w:t>年</w:t>
      </w:r>
      <w:r w:rsidRPr="002A6C87">
        <w:rPr>
          <w:rFonts w:ascii="Times New Roman" w:eastAsia="宋体" w:hAnsi="Times New Roman" w:cs="Times New Roman"/>
          <w:spacing w:val="14"/>
          <w:kern w:val="0"/>
          <w:szCs w:val="21"/>
        </w:rPr>
        <w:t>6</w:t>
      </w:r>
      <w:r w:rsidRPr="002A6C87">
        <w:rPr>
          <w:rFonts w:ascii="宋体" w:eastAsia="宋体" w:hAnsi="宋体" w:cs="Times New Roman" w:hint="eastAsia"/>
          <w:spacing w:val="14"/>
          <w:kern w:val="0"/>
          <w:szCs w:val="21"/>
        </w:rPr>
        <w:t>月</w:t>
      </w:r>
      <w:r w:rsidRPr="002A6C87">
        <w:rPr>
          <w:rFonts w:ascii="Times New Roman" w:eastAsia="宋体" w:hAnsi="Times New Roman" w:cs="Times New Roman"/>
          <w:spacing w:val="14"/>
          <w:kern w:val="0"/>
          <w:szCs w:val="21"/>
        </w:rPr>
        <w:t>30</w:t>
      </w:r>
      <w:r w:rsidRPr="002A6C87">
        <w:rPr>
          <w:rFonts w:ascii="宋体" w:eastAsia="宋体" w:hAnsi="宋体" w:cs="Times New Roman" w:hint="eastAsia"/>
          <w:spacing w:val="14"/>
          <w:kern w:val="0"/>
          <w:szCs w:val="21"/>
        </w:rPr>
        <w:t>日</w:t>
      </w:r>
    </w:p>
    <w:p w:rsidR="00634FC8" w:rsidRPr="002A6C87" w:rsidRDefault="00634FC8" w:rsidP="002A6C87">
      <w:pPr>
        <w:rPr>
          <w:rFonts w:hint="eastAsia"/>
        </w:rPr>
      </w:pPr>
    </w:p>
    <w:sectPr w:rsidR="00634FC8" w:rsidRPr="002A6C87"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A6C87"/>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9D3"/>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FCB"/>
    <w:rsid w:val="006133B3"/>
    <w:rsid w:val="00613D3D"/>
    <w:rsid w:val="00613F5E"/>
    <w:rsid w:val="0061441A"/>
    <w:rsid w:val="006146B3"/>
    <w:rsid w:val="00614928"/>
    <w:rsid w:val="0061494E"/>
    <w:rsid w:val="00614C1D"/>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81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Pages>
  <Words>121</Words>
  <Characters>694</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3690</cp:revision>
  <dcterms:created xsi:type="dcterms:W3CDTF">2014-02-17T08:42:00Z</dcterms:created>
  <dcterms:modified xsi:type="dcterms:W3CDTF">2014-07-30T06:11:00Z</dcterms:modified>
</cp:coreProperties>
</file>