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BA0" w:rsidRDefault="00A92BA0" w:rsidP="00A92BA0">
      <w:pPr>
        <w:pStyle w:val="2"/>
        <w:pBdr>
          <w:bottom w:val="single" w:sz="6" w:space="10" w:color="D7D7D7"/>
        </w:pBdr>
        <w:shd w:val="clear" w:color="auto" w:fill="FFFFFF"/>
        <w:spacing w:before="0" w:beforeAutospacing="0" w:after="0" w:afterAutospacing="0"/>
        <w:jc w:val="center"/>
        <w:rPr>
          <w:rFonts w:ascii="Arial" w:hAnsi="Arial" w:cs="Arial"/>
          <w:color w:val="E24800"/>
          <w:sz w:val="22"/>
          <w:szCs w:val="22"/>
        </w:rPr>
      </w:pPr>
      <w:r>
        <w:rPr>
          <w:rFonts w:ascii="Arial" w:hAnsi="Arial" w:cs="Arial"/>
          <w:color w:val="E24800"/>
          <w:sz w:val="22"/>
          <w:szCs w:val="22"/>
        </w:rPr>
        <w:t>黄金优选</w:t>
      </w:r>
      <w:r>
        <w:rPr>
          <w:rFonts w:ascii="Arial" w:hAnsi="Arial" w:cs="Arial"/>
          <w:color w:val="E24800"/>
          <w:sz w:val="22"/>
          <w:szCs w:val="22"/>
        </w:rPr>
        <w:t>1</w:t>
      </w:r>
      <w:r>
        <w:rPr>
          <w:rFonts w:ascii="Arial" w:hAnsi="Arial" w:cs="Arial"/>
          <w:color w:val="E24800"/>
          <w:sz w:val="22"/>
          <w:szCs w:val="22"/>
        </w:rPr>
        <w:t>期</w:t>
      </w:r>
      <w:r>
        <w:rPr>
          <w:rFonts w:ascii="Arial" w:hAnsi="Arial" w:cs="Arial"/>
          <w:color w:val="E24800"/>
          <w:sz w:val="22"/>
          <w:szCs w:val="22"/>
        </w:rPr>
        <w:t>1</w:t>
      </w:r>
      <w:r>
        <w:rPr>
          <w:rFonts w:ascii="Arial" w:hAnsi="Arial" w:cs="Arial"/>
          <w:color w:val="E24800"/>
          <w:sz w:val="22"/>
          <w:szCs w:val="22"/>
        </w:rPr>
        <w:t>号集合资金信托计划关于以通讯方式召开受益人大会的公告</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尊敬的委托人暨受益人：</w:t>
      </w:r>
      <w:r>
        <w:rPr>
          <w:rFonts w:ascii="Arial" w:hAnsi="Arial" w:cs="Arial"/>
          <w:color w:val="666666"/>
          <w:sz w:val="19"/>
          <w:szCs w:val="19"/>
        </w:rPr>
        <w:br/>
        <w:t xml:space="preserve">        </w:t>
      </w:r>
      <w:r>
        <w:rPr>
          <w:rFonts w:ascii="Arial" w:hAnsi="Arial" w:cs="Arial"/>
          <w:color w:val="666666"/>
          <w:sz w:val="19"/>
          <w:szCs w:val="19"/>
        </w:rPr>
        <w:t>我司发起设立了黄金优选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号集合资金信托计划（以下简称</w:t>
      </w:r>
      <w:r>
        <w:rPr>
          <w:rFonts w:ascii="Arial" w:hAnsi="Arial" w:cs="Arial"/>
          <w:color w:val="666666"/>
          <w:sz w:val="19"/>
          <w:szCs w:val="19"/>
        </w:rPr>
        <w:t>“</w:t>
      </w:r>
      <w:r>
        <w:rPr>
          <w:rFonts w:ascii="Arial" w:hAnsi="Arial" w:cs="Arial"/>
          <w:color w:val="666666"/>
          <w:sz w:val="19"/>
          <w:szCs w:val="19"/>
        </w:rPr>
        <w:t>信托计划</w:t>
      </w:r>
      <w:r>
        <w:rPr>
          <w:rFonts w:ascii="Arial" w:hAnsi="Arial" w:cs="Arial"/>
          <w:color w:val="666666"/>
          <w:sz w:val="19"/>
          <w:szCs w:val="19"/>
        </w:rPr>
        <w:t>”</w:t>
      </w:r>
      <w:r>
        <w:rPr>
          <w:rFonts w:ascii="Arial" w:hAnsi="Arial" w:cs="Arial"/>
          <w:color w:val="666666"/>
          <w:sz w:val="19"/>
          <w:szCs w:val="19"/>
        </w:rPr>
        <w:t>）。信托计划的各委托人已经同意《黄金优选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号集合资金信托计划说明书》（以下简称</w:t>
      </w:r>
      <w:r>
        <w:rPr>
          <w:rFonts w:ascii="Arial" w:hAnsi="Arial" w:cs="Arial"/>
          <w:color w:val="666666"/>
          <w:sz w:val="19"/>
          <w:szCs w:val="19"/>
        </w:rPr>
        <w:t>“</w:t>
      </w:r>
      <w:r>
        <w:rPr>
          <w:rFonts w:ascii="Arial" w:hAnsi="Arial" w:cs="Arial"/>
          <w:color w:val="666666"/>
          <w:sz w:val="19"/>
          <w:szCs w:val="19"/>
        </w:rPr>
        <w:t>信托计划说明书</w:t>
      </w:r>
      <w:r>
        <w:rPr>
          <w:rFonts w:ascii="Arial" w:hAnsi="Arial" w:cs="Arial"/>
          <w:color w:val="666666"/>
          <w:sz w:val="19"/>
          <w:szCs w:val="19"/>
        </w:rPr>
        <w:t>”</w:t>
      </w:r>
      <w:r>
        <w:rPr>
          <w:rFonts w:ascii="Arial" w:hAnsi="Arial" w:cs="Arial"/>
          <w:color w:val="666666"/>
          <w:sz w:val="19"/>
          <w:szCs w:val="19"/>
        </w:rPr>
        <w:t>）并与我司签订了《黄金优选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号集合资金信托计划信托合同》（以下简称</w:t>
      </w:r>
      <w:r>
        <w:rPr>
          <w:rFonts w:ascii="Arial" w:hAnsi="Arial" w:cs="Arial"/>
          <w:color w:val="666666"/>
          <w:sz w:val="19"/>
          <w:szCs w:val="19"/>
        </w:rPr>
        <w:t>“</w:t>
      </w:r>
      <w:r>
        <w:rPr>
          <w:rFonts w:ascii="Arial" w:hAnsi="Arial" w:cs="Arial"/>
          <w:color w:val="666666"/>
          <w:sz w:val="19"/>
          <w:szCs w:val="19"/>
        </w:rPr>
        <w:t>信托合同</w:t>
      </w:r>
      <w:r>
        <w:rPr>
          <w:rFonts w:ascii="Arial" w:hAnsi="Arial" w:cs="Arial"/>
          <w:color w:val="666666"/>
          <w:sz w:val="19"/>
          <w:szCs w:val="19"/>
        </w:rPr>
        <w:t>”</w:t>
      </w:r>
      <w:r>
        <w:rPr>
          <w:rFonts w:ascii="Arial" w:hAnsi="Arial" w:cs="Arial"/>
          <w:color w:val="666666"/>
          <w:sz w:val="19"/>
          <w:szCs w:val="19"/>
        </w:rPr>
        <w:t>）。</w:t>
      </w:r>
      <w:r>
        <w:rPr>
          <w:rFonts w:ascii="Arial" w:hAnsi="Arial" w:cs="Arial"/>
          <w:color w:val="666666"/>
          <w:sz w:val="19"/>
          <w:szCs w:val="19"/>
        </w:rPr>
        <w:br/>
        <w:t xml:space="preserve">        </w:t>
      </w:r>
      <w:r>
        <w:rPr>
          <w:rFonts w:ascii="Arial" w:hAnsi="Arial" w:cs="Arial"/>
          <w:color w:val="666666"/>
          <w:sz w:val="19"/>
          <w:szCs w:val="19"/>
        </w:rPr>
        <w:t>一、根据信托合同</w:t>
      </w:r>
      <w:r>
        <w:rPr>
          <w:rFonts w:ascii="Arial" w:hAnsi="Arial" w:cs="Arial"/>
          <w:color w:val="666666"/>
          <w:sz w:val="19"/>
          <w:szCs w:val="19"/>
        </w:rPr>
        <w:t>12.1.1</w:t>
      </w:r>
      <w:r>
        <w:rPr>
          <w:rFonts w:ascii="Arial" w:hAnsi="Arial" w:cs="Arial"/>
          <w:color w:val="666666"/>
          <w:sz w:val="19"/>
          <w:szCs w:val="19"/>
        </w:rPr>
        <w:t>、信托计划说明书</w:t>
      </w:r>
      <w:r>
        <w:rPr>
          <w:rFonts w:ascii="Arial" w:hAnsi="Arial" w:cs="Arial"/>
          <w:color w:val="666666"/>
          <w:sz w:val="19"/>
          <w:szCs w:val="19"/>
        </w:rPr>
        <w:t>1.1.2</w:t>
      </w:r>
      <w:r>
        <w:rPr>
          <w:rFonts w:ascii="Arial" w:hAnsi="Arial" w:cs="Arial"/>
          <w:color w:val="666666"/>
          <w:sz w:val="19"/>
          <w:szCs w:val="19"/>
        </w:rPr>
        <w:t>及</w:t>
      </w:r>
      <w:r>
        <w:rPr>
          <w:rFonts w:ascii="Arial" w:hAnsi="Arial" w:cs="Arial"/>
          <w:color w:val="666666"/>
          <w:sz w:val="19"/>
          <w:szCs w:val="19"/>
        </w:rPr>
        <w:t>3.1</w:t>
      </w:r>
      <w:r>
        <w:rPr>
          <w:rFonts w:ascii="Arial" w:hAnsi="Arial" w:cs="Arial"/>
          <w:color w:val="666666"/>
          <w:sz w:val="19"/>
          <w:szCs w:val="19"/>
        </w:rPr>
        <w:t>关于信托计划投资范围约定如下：</w:t>
      </w:r>
      <w:r>
        <w:rPr>
          <w:rFonts w:ascii="Arial" w:hAnsi="Arial" w:cs="Arial"/>
          <w:color w:val="666666"/>
          <w:sz w:val="19"/>
          <w:szCs w:val="19"/>
        </w:rPr>
        <w:br/>
        <w:t>       12.1.1</w:t>
      </w:r>
      <w:r>
        <w:rPr>
          <w:rFonts w:ascii="Arial" w:hAnsi="Arial" w:cs="Arial"/>
          <w:color w:val="666666"/>
          <w:sz w:val="19"/>
          <w:szCs w:val="19"/>
        </w:rPr>
        <w:t>，受托人根据信托目的，将本信托计划项下的信托财产投资于兴业银行股份有限公司发行、由受托人管理的兴业银行万利宝</w:t>
      </w:r>
      <w:r>
        <w:rPr>
          <w:rFonts w:ascii="Arial" w:hAnsi="Arial" w:cs="Arial"/>
          <w:color w:val="666666"/>
          <w:sz w:val="19"/>
          <w:szCs w:val="19"/>
        </w:rPr>
        <w:t>•</w:t>
      </w:r>
      <w:r>
        <w:rPr>
          <w:rFonts w:ascii="Arial" w:hAnsi="Arial" w:cs="Arial"/>
          <w:color w:val="666666"/>
          <w:sz w:val="19"/>
          <w:szCs w:val="19"/>
        </w:rPr>
        <w:t>黄金优选</w:t>
      </w:r>
      <w:r>
        <w:rPr>
          <w:rFonts w:ascii="Arial" w:hAnsi="Arial" w:cs="Arial"/>
          <w:color w:val="666666"/>
          <w:sz w:val="19"/>
          <w:szCs w:val="19"/>
        </w:rPr>
        <w:t>1</w:t>
      </w:r>
      <w:r>
        <w:rPr>
          <w:rFonts w:ascii="Arial" w:hAnsi="Arial" w:cs="Arial"/>
          <w:color w:val="666666"/>
          <w:sz w:val="19"/>
          <w:szCs w:val="19"/>
        </w:rPr>
        <w:t>期理财产品（兴业银行万利宝</w:t>
      </w:r>
      <w:r>
        <w:rPr>
          <w:rFonts w:ascii="Arial" w:hAnsi="Arial" w:cs="Arial"/>
          <w:color w:val="666666"/>
          <w:sz w:val="19"/>
          <w:szCs w:val="19"/>
        </w:rPr>
        <w:t>•</w:t>
      </w:r>
      <w:r>
        <w:rPr>
          <w:rFonts w:ascii="Arial" w:hAnsi="Arial" w:cs="Arial"/>
          <w:color w:val="666666"/>
          <w:sz w:val="19"/>
          <w:szCs w:val="19"/>
        </w:rPr>
        <w:t>黄金优选</w:t>
      </w:r>
      <w:r>
        <w:rPr>
          <w:rFonts w:ascii="Arial" w:hAnsi="Arial" w:cs="Arial"/>
          <w:color w:val="666666"/>
          <w:sz w:val="19"/>
          <w:szCs w:val="19"/>
        </w:rPr>
        <w:t>1</w:t>
      </w:r>
      <w:r>
        <w:rPr>
          <w:rFonts w:ascii="Arial" w:hAnsi="Arial" w:cs="Arial"/>
          <w:color w:val="666666"/>
          <w:sz w:val="19"/>
          <w:szCs w:val="19"/>
        </w:rPr>
        <w:t>期理财产品的开放日与本信托计划的开放日对应）、货币市场基金、银行间及交易所债券市场、一级市场申购、受托人受托管理的信托产品、银行存款等或持有现金。</w:t>
      </w:r>
      <w:r>
        <w:rPr>
          <w:rFonts w:ascii="Arial" w:hAnsi="Arial" w:cs="Arial"/>
          <w:color w:val="666666"/>
          <w:sz w:val="19"/>
          <w:szCs w:val="19"/>
        </w:rPr>
        <w:br/>
        <w:t xml:space="preserve">        </w:t>
      </w:r>
      <w:r>
        <w:rPr>
          <w:rFonts w:ascii="Arial" w:hAnsi="Arial" w:cs="Arial"/>
          <w:color w:val="666666"/>
          <w:sz w:val="19"/>
          <w:szCs w:val="19"/>
        </w:rPr>
        <w:t>在不违反国家相关法律法规的前提下，委托人在此授权受托人可酌情决定调整本信托计划的管理及运用方向，但受托人应提前二十个交易日以书面形式通知全体受益人，并在受托人网站上进行公告。</w:t>
      </w:r>
      <w:r>
        <w:rPr>
          <w:rFonts w:ascii="Arial" w:hAnsi="Arial" w:cs="Arial"/>
          <w:color w:val="666666"/>
          <w:sz w:val="19"/>
          <w:szCs w:val="19"/>
        </w:rPr>
        <w:br/>
        <w:t>        </w:t>
      </w:r>
      <w:r>
        <w:rPr>
          <w:rFonts w:ascii="Arial" w:hAnsi="Arial" w:cs="Arial"/>
          <w:color w:val="666666"/>
          <w:sz w:val="19"/>
          <w:szCs w:val="19"/>
        </w:rPr>
        <w:t>兴业银行万利宝</w:t>
      </w:r>
      <w:r>
        <w:rPr>
          <w:rFonts w:ascii="Arial" w:hAnsi="Arial" w:cs="Arial"/>
          <w:color w:val="666666"/>
          <w:sz w:val="19"/>
          <w:szCs w:val="19"/>
        </w:rPr>
        <w:t>•</w:t>
      </w:r>
      <w:r>
        <w:rPr>
          <w:rFonts w:ascii="Arial" w:hAnsi="Arial" w:cs="Arial"/>
          <w:color w:val="666666"/>
          <w:sz w:val="19"/>
          <w:szCs w:val="19"/>
        </w:rPr>
        <w:t>黄金优选</w:t>
      </w:r>
      <w:r>
        <w:rPr>
          <w:rFonts w:ascii="Arial" w:hAnsi="Arial" w:cs="Arial"/>
          <w:color w:val="666666"/>
          <w:sz w:val="19"/>
          <w:szCs w:val="19"/>
        </w:rPr>
        <w:t>1</w:t>
      </w:r>
      <w:r>
        <w:rPr>
          <w:rFonts w:ascii="Arial" w:hAnsi="Arial" w:cs="Arial"/>
          <w:color w:val="666666"/>
          <w:sz w:val="19"/>
          <w:szCs w:val="19"/>
        </w:rPr>
        <w:t>期理财产品的理财资金主要投资于经银监会核准发行的证券投资类集合资金信托计划，该证券投资类集合资金信托计划为：淡水泉</w:t>
      </w:r>
      <w:r>
        <w:rPr>
          <w:rFonts w:ascii="Arial" w:hAnsi="Arial" w:cs="Arial"/>
          <w:color w:val="666666"/>
          <w:sz w:val="19"/>
          <w:szCs w:val="19"/>
        </w:rPr>
        <w:t>(</w:t>
      </w:r>
      <w:r>
        <w:rPr>
          <w:rFonts w:ascii="Arial" w:hAnsi="Arial" w:cs="Arial"/>
          <w:color w:val="666666"/>
          <w:sz w:val="19"/>
          <w:szCs w:val="19"/>
        </w:rPr>
        <w:t>北京</w:t>
      </w:r>
      <w:r>
        <w:rPr>
          <w:rFonts w:ascii="Arial" w:hAnsi="Arial" w:cs="Arial"/>
          <w:color w:val="666666"/>
          <w:sz w:val="19"/>
          <w:szCs w:val="19"/>
        </w:rPr>
        <w:t>)</w:t>
      </w:r>
      <w:r>
        <w:rPr>
          <w:rFonts w:ascii="Arial" w:hAnsi="Arial" w:cs="Arial"/>
          <w:color w:val="666666"/>
          <w:sz w:val="19"/>
          <w:szCs w:val="19"/>
        </w:rPr>
        <w:t>投资管理有限公司作为委托人代表（投资管理人）的平安财富</w:t>
      </w:r>
      <w:r>
        <w:rPr>
          <w:rFonts w:ascii="Arial" w:hAnsi="Arial" w:cs="Arial"/>
          <w:color w:val="666666"/>
          <w:sz w:val="19"/>
          <w:szCs w:val="19"/>
        </w:rPr>
        <w:t>•</w:t>
      </w:r>
      <w:r>
        <w:rPr>
          <w:rFonts w:ascii="Arial" w:hAnsi="Arial" w:cs="Arial"/>
          <w:color w:val="666666"/>
          <w:sz w:val="19"/>
          <w:szCs w:val="19"/>
        </w:rPr>
        <w:t>投资精英之淡水泉集合资金信托计划，但随着市场环境等因素的变化，该理财产品的投资组合可能发生适当调整。受托人将在收到兴业银行万利宝</w:t>
      </w:r>
      <w:r>
        <w:rPr>
          <w:rFonts w:ascii="Arial" w:hAnsi="Arial" w:cs="Arial"/>
          <w:color w:val="666666"/>
          <w:sz w:val="19"/>
          <w:szCs w:val="19"/>
        </w:rPr>
        <w:t>•</w:t>
      </w:r>
      <w:r>
        <w:rPr>
          <w:rFonts w:ascii="Arial" w:hAnsi="Arial" w:cs="Arial"/>
          <w:color w:val="666666"/>
          <w:sz w:val="19"/>
          <w:szCs w:val="19"/>
        </w:rPr>
        <w:t>黄金优选</w:t>
      </w:r>
      <w:r>
        <w:rPr>
          <w:rFonts w:ascii="Arial" w:hAnsi="Arial" w:cs="Arial"/>
          <w:color w:val="666666"/>
          <w:sz w:val="19"/>
          <w:szCs w:val="19"/>
        </w:rPr>
        <w:t>1</w:t>
      </w:r>
      <w:r>
        <w:rPr>
          <w:rFonts w:ascii="Arial" w:hAnsi="Arial" w:cs="Arial"/>
          <w:color w:val="666666"/>
          <w:sz w:val="19"/>
          <w:szCs w:val="19"/>
        </w:rPr>
        <w:t>期理财产品调整通知的五个交易日内，以书面形式通知本信托的全体受益人。</w:t>
      </w:r>
      <w:r>
        <w:rPr>
          <w:rFonts w:ascii="Arial" w:hAnsi="Arial" w:cs="Arial"/>
          <w:color w:val="666666"/>
          <w:sz w:val="19"/>
          <w:szCs w:val="19"/>
        </w:rPr>
        <w:br/>
        <w:t xml:space="preserve">        </w:t>
      </w:r>
      <w:r>
        <w:rPr>
          <w:rFonts w:ascii="Arial" w:hAnsi="Arial" w:cs="Arial"/>
          <w:color w:val="666666"/>
          <w:sz w:val="19"/>
          <w:szCs w:val="19"/>
        </w:rPr>
        <w:t>二、黄金优选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号集合资金信托计划所投标的信托</w:t>
      </w:r>
      <w:r>
        <w:rPr>
          <w:rFonts w:ascii="Arial" w:hAnsi="Arial" w:cs="Arial"/>
          <w:color w:val="666666"/>
          <w:sz w:val="19"/>
          <w:szCs w:val="19"/>
        </w:rPr>
        <w:t>“</w:t>
      </w:r>
      <w:r>
        <w:rPr>
          <w:rFonts w:ascii="Arial" w:hAnsi="Arial" w:cs="Arial"/>
          <w:color w:val="666666"/>
          <w:sz w:val="19"/>
          <w:szCs w:val="19"/>
        </w:rPr>
        <w:t>平安财富</w:t>
      </w:r>
      <w:r>
        <w:rPr>
          <w:rFonts w:ascii="Arial" w:hAnsi="Arial" w:cs="Arial"/>
          <w:color w:val="666666"/>
          <w:sz w:val="19"/>
          <w:szCs w:val="19"/>
        </w:rPr>
        <w:t>*</w:t>
      </w:r>
      <w:r>
        <w:rPr>
          <w:rFonts w:ascii="Arial" w:hAnsi="Arial" w:cs="Arial"/>
          <w:color w:val="666666"/>
          <w:sz w:val="19"/>
          <w:szCs w:val="19"/>
        </w:rPr>
        <w:t>投资精英之淡水泉</w:t>
      </w:r>
      <w:r>
        <w:rPr>
          <w:rFonts w:ascii="Arial" w:hAnsi="Arial" w:cs="Arial"/>
          <w:color w:val="666666"/>
          <w:sz w:val="19"/>
          <w:szCs w:val="19"/>
        </w:rPr>
        <w:t>”</w:t>
      </w:r>
      <w:r>
        <w:rPr>
          <w:rFonts w:ascii="Arial" w:hAnsi="Arial" w:cs="Arial"/>
          <w:color w:val="666666"/>
          <w:sz w:val="19"/>
          <w:szCs w:val="19"/>
        </w:rPr>
        <w:t>（以下简称</w:t>
      </w:r>
      <w:r>
        <w:rPr>
          <w:rFonts w:ascii="Arial" w:hAnsi="Arial" w:cs="Arial"/>
          <w:color w:val="666666"/>
          <w:sz w:val="19"/>
          <w:szCs w:val="19"/>
        </w:rPr>
        <w:t>“</w:t>
      </w:r>
      <w:r>
        <w:rPr>
          <w:rFonts w:ascii="Arial" w:hAnsi="Arial" w:cs="Arial"/>
          <w:color w:val="666666"/>
          <w:sz w:val="19"/>
          <w:szCs w:val="19"/>
        </w:rPr>
        <w:t>标的信托</w:t>
      </w:r>
      <w:r>
        <w:rPr>
          <w:rFonts w:ascii="Arial" w:hAnsi="Arial" w:cs="Arial"/>
          <w:color w:val="666666"/>
          <w:sz w:val="19"/>
          <w:szCs w:val="19"/>
        </w:rPr>
        <w:t>”</w:t>
      </w:r>
      <w:r>
        <w:rPr>
          <w:rFonts w:ascii="Arial" w:hAnsi="Arial" w:cs="Arial"/>
          <w:color w:val="666666"/>
          <w:sz w:val="19"/>
          <w:szCs w:val="19"/>
        </w:rPr>
        <w:t>）的委托人代表淡水泉（北京）投资管理有限公司拟提议修改标的信托的投资范围和投资限制等条款，并根据标的信托合同第二十条受益人大会的规定，我司拟提议通过通讯方式召开受益人大会，就上述修改议案（详见附件三）征求标的信托受益人意见。增加《平安信托有限责任公司股指期货类信托产品风险揭示书》（见附件四）供签署。</w:t>
      </w:r>
      <w:r>
        <w:rPr>
          <w:rFonts w:ascii="Arial" w:hAnsi="Arial" w:cs="Arial"/>
          <w:color w:val="666666"/>
          <w:sz w:val="19"/>
          <w:szCs w:val="19"/>
        </w:rPr>
        <w:br/>
        <w:t xml:space="preserve">        </w:t>
      </w:r>
      <w:r>
        <w:rPr>
          <w:rFonts w:ascii="Arial" w:hAnsi="Arial" w:cs="Arial"/>
          <w:color w:val="666666"/>
          <w:sz w:val="19"/>
          <w:szCs w:val="19"/>
        </w:rPr>
        <w:t>鉴于本信托为目标信托受益人，我司拟提议本信托以通讯方式召开本信托受益人大会，征求本信托受益人对标的信托上述修改议案的意见；同时提议对本信托投资范围调整微调。现将本次受益人大会事项公告如下：</w:t>
      </w:r>
    </w:p>
    <w:p w:rsidR="00A92BA0" w:rsidRDefault="00A92BA0" w:rsidP="00A92BA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一、受益人大会的召开时间：</w:t>
      </w:r>
      <w:r>
        <w:rPr>
          <w:rStyle w:val="a7"/>
          <w:rFonts w:ascii="Arial" w:hAnsi="Arial" w:cs="Arial"/>
          <w:color w:val="666666"/>
          <w:sz w:val="19"/>
          <w:szCs w:val="19"/>
        </w:rPr>
        <w:t>2014</w:t>
      </w:r>
      <w:r>
        <w:rPr>
          <w:rStyle w:val="a7"/>
          <w:rFonts w:ascii="Arial" w:hAnsi="Arial" w:cs="Arial"/>
          <w:color w:val="666666"/>
          <w:sz w:val="19"/>
          <w:szCs w:val="19"/>
        </w:rPr>
        <w:t>年【</w:t>
      </w:r>
      <w:r>
        <w:rPr>
          <w:rStyle w:val="a7"/>
          <w:rFonts w:ascii="Arial" w:hAnsi="Arial" w:cs="Arial"/>
          <w:color w:val="666666"/>
          <w:sz w:val="19"/>
          <w:szCs w:val="19"/>
        </w:rPr>
        <w:t>10</w:t>
      </w:r>
      <w:r>
        <w:rPr>
          <w:rStyle w:val="a7"/>
          <w:rFonts w:ascii="Arial" w:hAnsi="Arial" w:cs="Arial"/>
          <w:color w:val="666666"/>
          <w:sz w:val="19"/>
          <w:szCs w:val="19"/>
        </w:rPr>
        <w:t>】月【</w:t>
      </w:r>
      <w:r>
        <w:rPr>
          <w:rStyle w:val="a7"/>
          <w:rFonts w:ascii="Arial" w:hAnsi="Arial" w:cs="Arial"/>
          <w:color w:val="666666"/>
          <w:sz w:val="19"/>
          <w:szCs w:val="19"/>
        </w:rPr>
        <w:t>24</w:t>
      </w:r>
      <w:r>
        <w:rPr>
          <w:rStyle w:val="a7"/>
          <w:rFonts w:ascii="Arial" w:hAnsi="Arial" w:cs="Arial"/>
          <w:color w:val="666666"/>
          <w:sz w:val="19"/>
          <w:szCs w:val="19"/>
        </w:rPr>
        <w:t>】日</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二、会议召开方式：</w:t>
      </w:r>
      <w:r>
        <w:rPr>
          <w:rStyle w:val="a7"/>
          <w:rFonts w:ascii="Arial" w:hAnsi="Arial" w:cs="Arial"/>
          <w:color w:val="666666"/>
          <w:sz w:val="19"/>
          <w:szCs w:val="19"/>
        </w:rPr>
        <w:t xml:space="preserve"> </w:t>
      </w:r>
      <w:r>
        <w:rPr>
          <w:rStyle w:val="a7"/>
          <w:rFonts w:ascii="Arial" w:hAnsi="Arial" w:cs="Arial"/>
          <w:color w:val="666666"/>
          <w:sz w:val="19"/>
          <w:szCs w:val="19"/>
        </w:rPr>
        <w:t>通讯表决方式</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三、提请本次受益人大会审议的议案</w:t>
      </w:r>
      <w:r>
        <w:rPr>
          <w:rFonts w:ascii="Arial" w:hAnsi="Arial" w:cs="Arial"/>
          <w:b/>
          <w:bCs/>
          <w:color w:val="666666"/>
          <w:sz w:val="19"/>
          <w:szCs w:val="19"/>
        </w:rPr>
        <w:br/>
      </w:r>
      <w:r>
        <w:rPr>
          <w:rFonts w:ascii="Arial" w:hAnsi="Arial" w:cs="Arial"/>
          <w:color w:val="666666"/>
          <w:sz w:val="19"/>
          <w:szCs w:val="19"/>
        </w:rPr>
        <w:t>       1</w:t>
      </w:r>
      <w:r>
        <w:rPr>
          <w:rFonts w:ascii="Arial" w:hAnsi="Arial" w:cs="Arial"/>
          <w:color w:val="666666"/>
          <w:sz w:val="19"/>
          <w:szCs w:val="19"/>
        </w:rPr>
        <w:t>、信托合同、信托计划说明书关于投资范围表述中增加如下内容：</w:t>
      </w:r>
      <w:r>
        <w:rPr>
          <w:rFonts w:ascii="Arial" w:hAnsi="Arial" w:cs="Arial"/>
          <w:color w:val="666666"/>
          <w:sz w:val="19"/>
          <w:szCs w:val="19"/>
        </w:rPr>
        <w:br/>
      </w:r>
      <w:r>
        <w:rPr>
          <w:rFonts w:ascii="Arial" w:hAnsi="Arial" w:cs="Arial"/>
          <w:color w:val="666666"/>
          <w:sz w:val="19"/>
          <w:szCs w:val="19"/>
        </w:rPr>
        <w:t>受托人有权酌情调整投资于目标信托的资金比例、有权更换目标信托，但此等调整应提前至少二十个交易日在受托人网站上公告。</w:t>
      </w:r>
      <w:r>
        <w:rPr>
          <w:rFonts w:ascii="Arial" w:hAnsi="Arial" w:cs="Arial"/>
          <w:color w:val="666666"/>
          <w:sz w:val="19"/>
          <w:szCs w:val="19"/>
        </w:rPr>
        <w:br/>
        <w:t>       2</w:t>
      </w:r>
      <w:r>
        <w:rPr>
          <w:rFonts w:ascii="Arial" w:hAnsi="Arial" w:cs="Arial"/>
          <w:color w:val="666666"/>
          <w:sz w:val="19"/>
          <w:szCs w:val="19"/>
        </w:rPr>
        <w:t>、同意本信托受托人（代表本信托计划）作为标的信托计划受益人对标的信托计划受益人大会表决议案投赞成票。即同意本信托计划受托人（代表本信托计划）作为标的信托计划受益人，对标的信托计划在投资范围、投资限制中新增</w:t>
      </w:r>
      <w:r>
        <w:rPr>
          <w:rFonts w:ascii="Arial" w:hAnsi="Arial" w:cs="Arial"/>
          <w:color w:val="666666"/>
          <w:sz w:val="19"/>
          <w:szCs w:val="19"/>
        </w:rPr>
        <w:t>“</w:t>
      </w:r>
      <w:r>
        <w:rPr>
          <w:rFonts w:ascii="Arial" w:hAnsi="Arial" w:cs="Arial"/>
          <w:color w:val="666666"/>
          <w:sz w:val="19"/>
          <w:szCs w:val="19"/>
        </w:rPr>
        <w:t>股指期货</w:t>
      </w:r>
      <w:r>
        <w:rPr>
          <w:rFonts w:ascii="Arial" w:hAnsi="Arial" w:cs="Arial"/>
          <w:color w:val="666666"/>
          <w:sz w:val="19"/>
          <w:szCs w:val="19"/>
        </w:rPr>
        <w:t>”</w:t>
      </w:r>
      <w:r>
        <w:rPr>
          <w:rFonts w:ascii="Arial" w:hAnsi="Arial" w:cs="Arial"/>
          <w:color w:val="666666"/>
          <w:sz w:val="19"/>
          <w:szCs w:val="19"/>
        </w:rPr>
        <w:t>、股指期货估值、增加风险揭示事项投赞成票。</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四、参加会议的对象</w:t>
      </w:r>
      <w:r>
        <w:rPr>
          <w:rFonts w:ascii="Arial" w:hAnsi="Arial" w:cs="Arial"/>
          <w:b/>
          <w:bCs/>
          <w:color w:val="666666"/>
          <w:sz w:val="19"/>
          <w:szCs w:val="19"/>
        </w:rPr>
        <w:br/>
      </w:r>
      <w:r>
        <w:rPr>
          <w:rFonts w:ascii="Arial" w:hAnsi="Arial" w:cs="Arial"/>
          <w:color w:val="666666"/>
          <w:sz w:val="19"/>
          <w:szCs w:val="19"/>
        </w:rPr>
        <w:t>        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号集合资金信托计划项下的全体受益人。</w:t>
      </w:r>
      <w:r>
        <w:rPr>
          <w:rFonts w:ascii="Arial" w:hAnsi="Arial" w:cs="Arial"/>
          <w:color w:val="666666"/>
          <w:sz w:val="19"/>
          <w:szCs w:val="19"/>
        </w:rPr>
        <w:br/>
        <w:t xml:space="preserve">       </w:t>
      </w:r>
      <w:r>
        <w:rPr>
          <w:rFonts w:ascii="Arial" w:hAnsi="Arial" w:cs="Arial"/>
          <w:color w:val="666666"/>
          <w:sz w:val="19"/>
          <w:szCs w:val="19"/>
        </w:rPr>
        <w:t>如某受益人在该日之前已向受托人寄送议案表决书，但于该日之前赎回所持全部或部分信托单位的，则该受益人成功赎回的信托单位不再计入本次受益人大会表决的信托单位总份数。</w:t>
      </w:r>
      <w:r>
        <w:rPr>
          <w:rFonts w:ascii="Arial" w:hAnsi="Arial" w:cs="Arial"/>
          <w:color w:val="666666"/>
          <w:sz w:val="19"/>
          <w:szCs w:val="19"/>
        </w:rPr>
        <w:br/>
        <w:t>       </w:t>
      </w:r>
      <w:r>
        <w:rPr>
          <w:rFonts w:ascii="Arial" w:hAnsi="Arial" w:cs="Arial"/>
          <w:color w:val="666666"/>
          <w:sz w:val="19"/>
          <w:szCs w:val="19"/>
        </w:rPr>
        <w:t>受益人在该日是否持有信托单位及其持有信托单位的份数以受托人的登记为准。</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五、表决方式</w:t>
      </w:r>
      <w:r>
        <w:rPr>
          <w:rFonts w:ascii="Arial" w:hAnsi="Arial" w:cs="Arial"/>
          <w:b/>
          <w:bCs/>
          <w:color w:val="666666"/>
          <w:sz w:val="19"/>
          <w:szCs w:val="19"/>
        </w:rPr>
        <w:br/>
      </w:r>
      <w:r>
        <w:rPr>
          <w:rFonts w:ascii="Arial" w:hAnsi="Arial" w:cs="Arial"/>
          <w:color w:val="666666"/>
          <w:sz w:val="19"/>
          <w:szCs w:val="19"/>
        </w:rPr>
        <w:t>       1</w:t>
      </w:r>
      <w:r>
        <w:rPr>
          <w:rFonts w:ascii="Arial" w:hAnsi="Arial" w:cs="Arial"/>
          <w:color w:val="666666"/>
          <w:sz w:val="19"/>
          <w:szCs w:val="19"/>
        </w:rPr>
        <w:t>、参加会议的自然人受益人填写议案表决书（见附件一），提供本人身份证或其他有效证件的复印件一份；参加会议的法人或其他组织受益人由法定代表人或组织机构负责人填写议案表决书（见附件二），提供营业执照副本复印件或组织机构证书复印件一份、法定代表人或组织机构负责人身份证明复印件一份、法定代表人或组织机构负责人证明书一份</w:t>
      </w:r>
      <w:r>
        <w:rPr>
          <w:rFonts w:ascii="Arial" w:hAnsi="Arial" w:cs="Arial"/>
          <w:color w:val="666666"/>
          <w:sz w:val="19"/>
          <w:szCs w:val="19"/>
        </w:rPr>
        <w:t xml:space="preserve">, </w:t>
      </w:r>
      <w:r>
        <w:rPr>
          <w:rFonts w:ascii="Arial" w:hAnsi="Arial" w:cs="Arial"/>
          <w:color w:val="666666"/>
          <w:sz w:val="19"/>
          <w:szCs w:val="19"/>
        </w:rPr>
        <w:t>若授权他人签字须提供授权委托书和被授权人身份证明文件。</w:t>
      </w:r>
      <w:r>
        <w:rPr>
          <w:rFonts w:ascii="Arial" w:hAnsi="Arial" w:cs="Arial"/>
          <w:color w:val="666666"/>
          <w:sz w:val="19"/>
          <w:szCs w:val="19"/>
        </w:rPr>
        <w:br/>
        <w:t>       2</w:t>
      </w:r>
      <w:r>
        <w:rPr>
          <w:rFonts w:ascii="Arial" w:hAnsi="Arial" w:cs="Arial"/>
          <w:color w:val="666666"/>
          <w:sz w:val="19"/>
          <w:szCs w:val="19"/>
        </w:rPr>
        <w:t>、受益人请于</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】日以前（含</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】日）将上述文件直接送交或邮寄的方式送达至我司，如特殊情况确实无法在【</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】日前邮寄至我司的，受益人可先通过扫描</w:t>
      </w:r>
      <w:r>
        <w:rPr>
          <w:rFonts w:ascii="Arial" w:hAnsi="Arial" w:cs="Arial"/>
          <w:color w:val="666666"/>
          <w:sz w:val="19"/>
          <w:szCs w:val="19"/>
        </w:rPr>
        <w:t>/</w:t>
      </w:r>
      <w:r>
        <w:rPr>
          <w:rFonts w:ascii="Arial" w:hAnsi="Arial" w:cs="Arial"/>
          <w:color w:val="666666"/>
          <w:sz w:val="19"/>
          <w:szCs w:val="19"/>
        </w:rPr>
        <w:t>传真方式发送至我司，后续再补寄原件至我司。</w:t>
      </w:r>
      <w:r>
        <w:rPr>
          <w:rFonts w:ascii="Arial" w:hAnsi="Arial" w:cs="Arial"/>
          <w:color w:val="666666"/>
          <w:sz w:val="19"/>
          <w:szCs w:val="19"/>
        </w:rPr>
        <w:br/>
        <w:t>       3</w:t>
      </w:r>
      <w:r>
        <w:rPr>
          <w:rFonts w:ascii="Arial" w:hAnsi="Arial" w:cs="Arial"/>
          <w:color w:val="666666"/>
          <w:sz w:val="19"/>
          <w:szCs w:val="19"/>
        </w:rPr>
        <w:t>、受益人如对上述表决事项持赞成或反对意见，请在相应的表决栏内作</w:t>
      </w:r>
      <w:r>
        <w:rPr>
          <w:rFonts w:ascii="Arial" w:hAnsi="Arial" w:cs="Arial"/>
          <w:color w:val="666666"/>
          <w:sz w:val="19"/>
          <w:szCs w:val="19"/>
        </w:rPr>
        <w:t>“√”</w:t>
      </w:r>
      <w:r>
        <w:rPr>
          <w:rFonts w:ascii="Arial" w:hAnsi="Arial" w:cs="Arial"/>
          <w:color w:val="666666"/>
          <w:sz w:val="19"/>
          <w:szCs w:val="19"/>
        </w:rPr>
        <w:t>标识；表决栏双选或未选的议案表决书，将被视为弃权，其所代表的信托单位份数计入参加本次受益人大会表决的信托单位总份数。</w:t>
      </w:r>
      <w:r>
        <w:rPr>
          <w:rFonts w:ascii="Arial" w:hAnsi="Arial" w:cs="Arial"/>
          <w:color w:val="666666"/>
          <w:sz w:val="19"/>
          <w:szCs w:val="19"/>
        </w:rPr>
        <w:br/>
        <w:t>       4</w:t>
      </w:r>
      <w:r>
        <w:rPr>
          <w:rFonts w:ascii="Arial" w:hAnsi="Arial" w:cs="Arial"/>
          <w:color w:val="666666"/>
          <w:sz w:val="19"/>
          <w:szCs w:val="19"/>
        </w:rPr>
        <w:t>、超过</w:t>
      </w:r>
      <w:r>
        <w:rPr>
          <w:rFonts w:ascii="Arial" w:hAnsi="Arial" w:cs="Arial"/>
          <w:color w:val="666666"/>
          <w:sz w:val="19"/>
          <w:szCs w:val="19"/>
        </w:rPr>
        <w:t>2014</w:t>
      </w:r>
      <w:r>
        <w:rPr>
          <w:rFonts w:ascii="Arial" w:hAnsi="Arial" w:cs="Arial"/>
          <w:color w:val="666666"/>
          <w:sz w:val="19"/>
          <w:szCs w:val="19"/>
        </w:rPr>
        <w:t>年【</w:t>
      </w:r>
      <w:r>
        <w:rPr>
          <w:rFonts w:ascii="Arial" w:hAnsi="Arial" w:cs="Arial"/>
          <w:color w:val="666666"/>
          <w:sz w:val="19"/>
          <w:szCs w:val="19"/>
        </w:rPr>
        <w:t>10</w:t>
      </w:r>
      <w:r>
        <w:rPr>
          <w:rFonts w:ascii="Arial" w:hAnsi="Arial" w:cs="Arial"/>
          <w:color w:val="666666"/>
          <w:sz w:val="19"/>
          <w:szCs w:val="19"/>
        </w:rPr>
        <w:t>】月【</w:t>
      </w:r>
      <w:r>
        <w:rPr>
          <w:rFonts w:ascii="Arial" w:hAnsi="Arial" w:cs="Arial"/>
          <w:color w:val="666666"/>
          <w:sz w:val="19"/>
          <w:szCs w:val="19"/>
        </w:rPr>
        <w:t>24</w:t>
      </w:r>
      <w:r>
        <w:rPr>
          <w:rFonts w:ascii="Arial" w:hAnsi="Arial" w:cs="Arial"/>
          <w:color w:val="666666"/>
          <w:sz w:val="19"/>
          <w:szCs w:val="19"/>
        </w:rPr>
        <w:t>】日未送达至我司的议案表决书或未能签名的议案表决书，视作无效票处理，其所代表的信托单位份数不计入参加本次受益人大会表决的信托单位总份数。</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六、表决书回收方式</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表决书按受托人指定方式回收。</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七、议事规则</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根据《信托公司集合资金信托计划管理办法》及信托合同第十九条的约定，本次会议的表决规则及决议通过规则如下：</w:t>
      </w:r>
      <w:r>
        <w:rPr>
          <w:rFonts w:ascii="Arial" w:hAnsi="Arial" w:cs="Arial"/>
          <w:color w:val="666666"/>
          <w:sz w:val="19"/>
          <w:szCs w:val="19"/>
        </w:rPr>
        <w:br/>
        <w:t>        1</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每一份信托单位具有一票表决权；</w:t>
      </w:r>
      <w:r>
        <w:rPr>
          <w:rFonts w:ascii="Arial" w:hAnsi="Arial" w:cs="Arial"/>
          <w:color w:val="666666"/>
          <w:sz w:val="19"/>
          <w:szCs w:val="19"/>
        </w:rPr>
        <w:br/>
        <w:t>        2</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受益人大会需由代表百分之五十以上信托单位的受益人参加；</w:t>
      </w:r>
      <w:r>
        <w:rPr>
          <w:rFonts w:ascii="Arial" w:hAnsi="Arial" w:cs="Arial"/>
          <w:color w:val="666666"/>
          <w:sz w:val="19"/>
          <w:szCs w:val="19"/>
        </w:rPr>
        <w:br/>
        <w:t>        3</w:t>
      </w:r>
      <w:r>
        <w:rPr>
          <w:rFonts w:ascii="Arial" w:hAnsi="Arial" w:cs="Arial"/>
          <w:color w:val="666666"/>
          <w:sz w:val="19"/>
          <w:szCs w:val="19"/>
        </w:rPr>
        <w:t>、</w:t>
      </w:r>
      <w:r>
        <w:rPr>
          <w:rFonts w:ascii="Arial" w:hAnsi="Arial" w:cs="Arial"/>
          <w:color w:val="666666"/>
          <w:sz w:val="19"/>
          <w:szCs w:val="19"/>
        </w:rPr>
        <w:t xml:space="preserve"> </w:t>
      </w:r>
      <w:r>
        <w:rPr>
          <w:rFonts w:ascii="Arial" w:hAnsi="Arial" w:cs="Arial"/>
          <w:color w:val="666666"/>
          <w:sz w:val="19"/>
          <w:szCs w:val="19"/>
        </w:rPr>
        <w:t>经参加大会的受益人所持表决权（信托单位）的三分之二以上通过，则议案通过。</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八、特别事项说明</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本次受益人大会就标的信托</w:t>
      </w:r>
      <w:r>
        <w:rPr>
          <w:rFonts w:ascii="Arial" w:hAnsi="Arial" w:cs="Arial"/>
          <w:color w:val="666666"/>
          <w:sz w:val="19"/>
          <w:szCs w:val="19"/>
        </w:rPr>
        <w:t>“</w:t>
      </w:r>
      <w:r>
        <w:rPr>
          <w:rFonts w:ascii="Arial" w:hAnsi="Arial" w:cs="Arial"/>
          <w:color w:val="666666"/>
          <w:sz w:val="19"/>
          <w:szCs w:val="19"/>
        </w:rPr>
        <w:t>平安财富</w:t>
      </w:r>
      <w:r>
        <w:rPr>
          <w:rFonts w:ascii="Arial" w:hAnsi="Arial" w:cs="Arial"/>
          <w:color w:val="666666"/>
          <w:sz w:val="19"/>
          <w:szCs w:val="19"/>
        </w:rPr>
        <w:t>*</w:t>
      </w:r>
      <w:r>
        <w:rPr>
          <w:rFonts w:ascii="Arial" w:hAnsi="Arial" w:cs="Arial"/>
          <w:color w:val="666666"/>
          <w:sz w:val="19"/>
          <w:szCs w:val="19"/>
        </w:rPr>
        <w:t>投资精英之淡水泉</w:t>
      </w:r>
      <w:r>
        <w:rPr>
          <w:rFonts w:ascii="Arial" w:hAnsi="Arial" w:cs="Arial"/>
          <w:color w:val="666666"/>
          <w:sz w:val="19"/>
          <w:szCs w:val="19"/>
        </w:rPr>
        <w:t>”</w:t>
      </w:r>
      <w:r>
        <w:rPr>
          <w:rFonts w:ascii="Arial" w:hAnsi="Arial" w:cs="Arial"/>
          <w:color w:val="666666"/>
          <w:sz w:val="19"/>
          <w:szCs w:val="19"/>
        </w:rPr>
        <w:t>投资范围中增加股指期货的相关事宜表决通过后，自本次受益人大会决议生效之日起至本次受益人大会决议生效之日起满【</w:t>
      </w:r>
      <w:r>
        <w:rPr>
          <w:rFonts w:ascii="Arial" w:hAnsi="Arial" w:cs="Arial"/>
          <w:color w:val="666666"/>
          <w:sz w:val="19"/>
          <w:szCs w:val="19"/>
        </w:rPr>
        <w:t>2</w:t>
      </w:r>
      <w:r>
        <w:rPr>
          <w:rFonts w:ascii="Arial" w:hAnsi="Arial" w:cs="Arial"/>
          <w:color w:val="666666"/>
          <w:sz w:val="19"/>
          <w:szCs w:val="19"/>
        </w:rPr>
        <w:t>】个月之日（如遇非工作日，则顺延至下一工作日）止的期间内（以下简称</w:t>
      </w:r>
      <w:r>
        <w:rPr>
          <w:rFonts w:ascii="Arial" w:hAnsi="Arial" w:cs="Arial"/>
          <w:color w:val="666666"/>
          <w:sz w:val="19"/>
          <w:szCs w:val="19"/>
        </w:rPr>
        <w:t>“</w:t>
      </w:r>
      <w:r>
        <w:rPr>
          <w:rFonts w:ascii="Arial" w:hAnsi="Arial" w:cs="Arial"/>
          <w:color w:val="666666"/>
          <w:sz w:val="19"/>
          <w:szCs w:val="19"/>
        </w:rPr>
        <w:t>过渡期间</w:t>
      </w:r>
      <w:r>
        <w:rPr>
          <w:rFonts w:ascii="Arial" w:hAnsi="Arial" w:cs="Arial"/>
          <w:color w:val="666666"/>
          <w:sz w:val="19"/>
          <w:szCs w:val="19"/>
        </w:rPr>
        <w:t>”</w:t>
      </w:r>
      <w:r>
        <w:rPr>
          <w:rFonts w:ascii="Arial" w:hAnsi="Arial" w:cs="Arial"/>
          <w:color w:val="666666"/>
          <w:sz w:val="19"/>
          <w:szCs w:val="19"/>
        </w:rPr>
        <w:t>），即便监管部门已另行同意信托计划股指期货账户的开立及股指期货实际投资运作相关事宜，信托计划亦暂不实际进行股指期货投资。受益人有权在过渡期间内按照信托合同、信托计划说明书等信托文件的规定申请赎回其持有的部分或全部信托单位。自过渡期间后的第一个工作日起，信托计划将根据届时实际情况进行股指期货投资运作事宜，此时，因信托计划实际进行或不进行股指期货投资运作而产生的风险或可能导致的投资运作收益波动由届时存续的受益人自行承担。</w:t>
      </w:r>
      <w:r>
        <w:rPr>
          <w:rFonts w:ascii="Arial" w:hAnsi="Arial" w:cs="Arial"/>
          <w:color w:val="666666"/>
          <w:sz w:val="19"/>
          <w:szCs w:val="19"/>
        </w:rPr>
        <w:br/>
        <w:t xml:space="preserve">        </w:t>
      </w:r>
      <w:r>
        <w:rPr>
          <w:rFonts w:ascii="Arial" w:hAnsi="Arial" w:cs="Arial"/>
          <w:color w:val="666666"/>
          <w:sz w:val="19"/>
          <w:szCs w:val="19"/>
        </w:rPr>
        <w:t>另，如果黄金优选</w:t>
      </w:r>
      <w:r>
        <w:rPr>
          <w:rFonts w:ascii="Arial" w:hAnsi="Arial" w:cs="Arial"/>
          <w:color w:val="666666"/>
          <w:sz w:val="19"/>
          <w:szCs w:val="19"/>
        </w:rPr>
        <w:t>1</w:t>
      </w:r>
      <w:r>
        <w:rPr>
          <w:rFonts w:ascii="Arial" w:hAnsi="Arial" w:cs="Arial"/>
          <w:color w:val="666666"/>
          <w:sz w:val="19"/>
          <w:szCs w:val="19"/>
        </w:rPr>
        <w:t>期</w:t>
      </w:r>
      <w:r>
        <w:rPr>
          <w:rFonts w:ascii="Arial" w:hAnsi="Arial" w:cs="Arial"/>
          <w:color w:val="666666"/>
          <w:sz w:val="19"/>
          <w:szCs w:val="19"/>
        </w:rPr>
        <w:t>1</w:t>
      </w:r>
      <w:r>
        <w:rPr>
          <w:rFonts w:ascii="Arial" w:hAnsi="Arial" w:cs="Arial"/>
          <w:color w:val="666666"/>
          <w:sz w:val="19"/>
          <w:szCs w:val="19"/>
        </w:rPr>
        <w:t>号超过百分之五十以上信托单位受益人参加本次受益人大会，且参会受益人所持表决权（信托单位）的三分之二以上的受益人对议案投反对票数；但标的信托平安财富</w:t>
      </w:r>
      <w:r>
        <w:rPr>
          <w:rFonts w:ascii="Arial" w:hAnsi="Arial" w:cs="Arial"/>
          <w:color w:val="666666"/>
          <w:sz w:val="19"/>
          <w:szCs w:val="19"/>
        </w:rPr>
        <w:t>*</w:t>
      </w:r>
      <w:r>
        <w:rPr>
          <w:rFonts w:ascii="Arial" w:hAnsi="Arial" w:cs="Arial"/>
          <w:color w:val="666666"/>
          <w:sz w:val="19"/>
          <w:szCs w:val="19"/>
        </w:rPr>
        <w:t>投资精英之淡水泉最终通过决议，同意增加股指期货投向，则本期黄金优选将因投资目的不能实现（即需从标的信托中赎回相应份额，不能继续投资标的信托）而面临提前终止的风险。</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Style w:val="a7"/>
          <w:rFonts w:ascii="Arial" w:hAnsi="Arial" w:cs="Arial"/>
          <w:color w:val="666666"/>
          <w:sz w:val="19"/>
          <w:szCs w:val="19"/>
        </w:rPr>
        <w:t>九、咨询电话</w:t>
      </w:r>
      <w:r>
        <w:rPr>
          <w:rFonts w:ascii="Arial" w:hAnsi="Arial" w:cs="Arial"/>
          <w:b/>
          <w:bCs/>
          <w:color w:val="666666"/>
          <w:sz w:val="19"/>
          <w:szCs w:val="19"/>
        </w:rPr>
        <w:br/>
      </w:r>
      <w:r>
        <w:rPr>
          <w:rFonts w:ascii="Arial" w:hAnsi="Arial" w:cs="Arial"/>
          <w:color w:val="666666"/>
          <w:sz w:val="19"/>
          <w:szCs w:val="19"/>
        </w:rPr>
        <w:t xml:space="preserve">       </w:t>
      </w:r>
      <w:r>
        <w:rPr>
          <w:rFonts w:ascii="Arial" w:hAnsi="Arial" w:cs="Arial"/>
          <w:color w:val="666666"/>
          <w:sz w:val="19"/>
          <w:szCs w:val="19"/>
        </w:rPr>
        <w:t>李洁：</w:t>
      </w:r>
      <w:r>
        <w:rPr>
          <w:rFonts w:ascii="Arial" w:hAnsi="Arial" w:cs="Arial"/>
          <w:color w:val="666666"/>
          <w:sz w:val="19"/>
          <w:szCs w:val="19"/>
        </w:rPr>
        <w:t>021-38637933</w:t>
      </w:r>
      <w:r>
        <w:rPr>
          <w:rFonts w:ascii="Arial" w:hAnsi="Arial" w:cs="Arial"/>
          <w:color w:val="666666"/>
          <w:sz w:val="19"/>
          <w:szCs w:val="19"/>
        </w:rPr>
        <w:br/>
        <w:t xml:space="preserve">       </w:t>
      </w:r>
      <w:r>
        <w:rPr>
          <w:rFonts w:ascii="Arial" w:hAnsi="Arial" w:cs="Arial"/>
          <w:color w:val="666666"/>
          <w:sz w:val="19"/>
          <w:szCs w:val="19"/>
        </w:rPr>
        <w:t>戴滢珂：</w:t>
      </w:r>
      <w:r>
        <w:rPr>
          <w:rFonts w:ascii="Arial" w:hAnsi="Arial" w:cs="Arial"/>
          <w:color w:val="666666"/>
          <w:sz w:val="19"/>
          <w:szCs w:val="19"/>
        </w:rPr>
        <w:t>0755-22627653</w:t>
      </w:r>
      <w:r>
        <w:rPr>
          <w:rFonts w:ascii="Arial" w:hAnsi="Arial" w:cs="Arial"/>
          <w:color w:val="666666"/>
          <w:sz w:val="19"/>
          <w:szCs w:val="19"/>
        </w:rPr>
        <w:br/>
        <w:t xml:space="preserve">       </w:t>
      </w:r>
      <w:r>
        <w:rPr>
          <w:rFonts w:ascii="Arial" w:hAnsi="Arial" w:cs="Arial"/>
          <w:color w:val="666666"/>
          <w:sz w:val="19"/>
          <w:szCs w:val="19"/>
        </w:rPr>
        <w:t>唐泰凌：</w:t>
      </w:r>
      <w:r>
        <w:rPr>
          <w:rFonts w:ascii="Arial" w:hAnsi="Arial" w:cs="Arial"/>
          <w:color w:val="666666"/>
          <w:sz w:val="19"/>
          <w:szCs w:val="19"/>
        </w:rPr>
        <w:t>021-38630414</w:t>
      </w:r>
    </w:p>
    <w:p w:rsidR="00A92BA0" w:rsidRDefault="00A92BA0" w:rsidP="00A92BA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w:t>
      </w:r>
    </w:p>
    <w:p w:rsidR="00A92BA0" w:rsidRDefault="00A92BA0" w:rsidP="00A92BA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 </w:t>
      </w:r>
    </w:p>
    <w:p w:rsidR="00A92BA0" w:rsidRDefault="00A92BA0" w:rsidP="00A92BA0">
      <w:pPr>
        <w:pStyle w:val="a6"/>
        <w:shd w:val="clear" w:color="auto" w:fill="FFFFFF"/>
        <w:spacing w:before="109"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t>特此公告！并感谢您对我司的一贯支持与信任！</w:t>
      </w:r>
    </w:p>
    <w:p w:rsidR="00A92BA0" w:rsidRDefault="00A92BA0" w:rsidP="00A92BA0">
      <w:pPr>
        <w:pStyle w:val="a6"/>
        <w:shd w:val="clear" w:color="auto" w:fill="FFFFFF"/>
        <w:spacing w:before="0" w:beforeAutospacing="0" w:after="0" w:afterAutospacing="0" w:line="272" w:lineRule="atLeast"/>
        <w:ind w:firstLine="326"/>
        <w:rPr>
          <w:rFonts w:ascii="Arial" w:hAnsi="Arial" w:cs="Arial"/>
          <w:color w:val="666666"/>
          <w:sz w:val="19"/>
          <w:szCs w:val="19"/>
        </w:rPr>
      </w:pPr>
      <w:r>
        <w:rPr>
          <w:rFonts w:ascii="Arial" w:hAnsi="Arial" w:cs="Arial"/>
          <w:color w:val="666666"/>
          <w:sz w:val="19"/>
          <w:szCs w:val="19"/>
        </w:rPr>
        <w:br/>
      </w:r>
      <w:r>
        <w:rPr>
          <w:rFonts w:ascii="Arial" w:hAnsi="Arial" w:cs="Arial"/>
          <w:color w:val="666666"/>
          <w:sz w:val="19"/>
          <w:szCs w:val="19"/>
        </w:rPr>
        <w:t xml:space="preserve">　</w:t>
      </w:r>
      <w:r>
        <w:rPr>
          <w:rFonts w:ascii="Arial" w:hAnsi="Arial" w:cs="Arial"/>
          <w:color w:val="666666"/>
          <w:sz w:val="19"/>
          <w:szCs w:val="19"/>
        </w:rPr>
        <w:t xml:space="preserve">                                                                                                                            </w:t>
      </w:r>
      <w:r>
        <w:rPr>
          <w:rFonts w:ascii="Arial" w:hAnsi="Arial" w:cs="Arial"/>
          <w:color w:val="666666"/>
          <w:sz w:val="19"/>
          <w:szCs w:val="19"/>
        </w:rPr>
        <w:t>平安信托有限责任公司</w:t>
      </w:r>
      <w:r>
        <w:rPr>
          <w:rFonts w:ascii="Arial" w:hAnsi="Arial" w:cs="Arial"/>
          <w:color w:val="666666"/>
          <w:sz w:val="19"/>
          <w:szCs w:val="19"/>
        </w:rPr>
        <w:br/>
        <w:t>                                                                                                                                     2014</w:t>
      </w:r>
      <w:r>
        <w:rPr>
          <w:rFonts w:ascii="Arial" w:hAnsi="Arial" w:cs="Arial"/>
          <w:color w:val="666666"/>
          <w:sz w:val="19"/>
          <w:szCs w:val="19"/>
        </w:rPr>
        <w:t>年</w:t>
      </w:r>
      <w:r>
        <w:rPr>
          <w:rFonts w:ascii="Arial" w:hAnsi="Arial" w:cs="Arial"/>
          <w:color w:val="666666"/>
          <w:sz w:val="19"/>
          <w:szCs w:val="19"/>
        </w:rPr>
        <w:t>8</w:t>
      </w:r>
      <w:r>
        <w:rPr>
          <w:rFonts w:ascii="Arial" w:hAnsi="Arial" w:cs="Arial"/>
          <w:color w:val="666666"/>
          <w:sz w:val="19"/>
          <w:szCs w:val="19"/>
        </w:rPr>
        <w:t>月</w:t>
      </w:r>
      <w:r>
        <w:rPr>
          <w:rFonts w:ascii="Arial" w:hAnsi="Arial" w:cs="Arial"/>
          <w:color w:val="666666"/>
          <w:sz w:val="19"/>
          <w:szCs w:val="19"/>
        </w:rPr>
        <w:t xml:space="preserve">15 </w:t>
      </w:r>
      <w:r>
        <w:rPr>
          <w:rFonts w:ascii="Arial" w:hAnsi="Arial" w:cs="Arial"/>
          <w:color w:val="666666"/>
          <w:sz w:val="19"/>
          <w:szCs w:val="19"/>
        </w:rPr>
        <w:t>日</w:t>
      </w:r>
    </w:p>
    <w:p w:rsidR="00964CE7" w:rsidRPr="00A92BA0" w:rsidRDefault="00964CE7" w:rsidP="00A92BA0"/>
    <w:sectPr w:rsidR="00964CE7" w:rsidRPr="00A92BA0" w:rsidSect="004A4B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6F8E" w:rsidRDefault="00D06F8E" w:rsidP="00674927">
      <w:r>
        <w:separator/>
      </w:r>
    </w:p>
  </w:endnote>
  <w:endnote w:type="continuationSeparator" w:id="1">
    <w:p w:rsidR="00D06F8E" w:rsidRDefault="00D06F8E" w:rsidP="006749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6F8E" w:rsidRDefault="00D06F8E" w:rsidP="00674927">
      <w:r>
        <w:separator/>
      </w:r>
    </w:p>
  </w:footnote>
  <w:footnote w:type="continuationSeparator" w:id="1">
    <w:p w:rsidR="00D06F8E" w:rsidRDefault="00D06F8E" w:rsidP="0067492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C1397"/>
    <w:multiLevelType w:val="multilevel"/>
    <w:tmpl w:val="2B8E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FA6CEF"/>
    <w:multiLevelType w:val="multilevel"/>
    <w:tmpl w:val="D60E6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4927"/>
    <w:rsid w:val="004A4B28"/>
    <w:rsid w:val="00674927"/>
    <w:rsid w:val="00964CE7"/>
    <w:rsid w:val="00A92BA0"/>
    <w:rsid w:val="00D06F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B28"/>
    <w:pPr>
      <w:widowControl w:val="0"/>
      <w:jc w:val="both"/>
    </w:pPr>
  </w:style>
  <w:style w:type="paragraph" w:styleId="2">
    <w:name w:val="heading 2"/>
    <w:basedOn w:val="a"/>
    <w:link w:val="2Char"/>
    <w:uiPriority w:val="9"/>
    <w:qFormat/>
    <w:rsid w:val="0067492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749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74927"/>
    <w:rPr>
      <w:sz w:val="18"/>
      <w:szCs w:val="18"/>
    </w:rPr>
  </w:style>
  <w:style w:type="paragraph" w:styleId="a4">
    <w:name w:val="footer"/>
    <w:basedOn w:val="a"/>
    <w:link w:val="Char0"/>
    <w:uiPriority w:val="99"/>
    <w:semiHidden/>
    <w:unhideWhenUsed/>
    <w:rsid w:val="006749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74927"/>
    <w:rPr>
      <w:sz w:val="18"/>
      <w:szCs w:val="18"/>
    </w:rPr>
  </w:style>
  <w:style w:type="character" w:customStyle="1" w:styleId="2Char">
    <w:name w:val="标题 2 Char"/>
    <w:basedOn w:val="a0"/>
    <w:link w:val="2"/>
    <w:uiPriority w:val="9"/>
    <w:rsid w:val="00674927"/>
    <w:rPr>
      <w:rFonts w:ascii="宋体" w:eastAsia="宋体" w:hAnsi="宋体" w:cs="宋体"/>
      <w:b/>
      <w:bCs/>
      <w:kern w:val="0"/>
      <w:sz w:val="36"/>
      <w:szCs w:val="36"/>
    </w:rPr>
  </w:style>
  <w:style w:type="character" w:customStyle="1" w:styleId="ay">
    <w:name w:val="a_y"/>
    <w:basedOn w:val="a0"/>
    <w:rsid w:val="00674927"/>
  </w:style>
  <w:style w:type="character" w:styleId="a5">
    <w:name w:val="Hyperlink"/>
    <w:basedOn w:val="a0"/>
    <w:uiPriority w:val="99"/>
    <w:semiHidden/>
    <w:unhideWhenUsed/>
    <w:rsid w:val="00674927"/>
    <w:rPr>
      <w:color w:val="0000FF"/>
      <w:u w:val="single"/>
    </w:rPr>
  </w:style>
  <w:style w:type="character" w:customStyle="1" w:styleId="apple-converted-space">
    <w:name w:val="apple-converted-space"/>
    <w:basedOn w:val="a0"/>
    <w:rsid w:val="00674927"/>
  </w:style>
  <w:style w:type="paragraph" w:styleId="a6">
    <w:name w:val="Normal (Web)"/>
    <w:basedOn w:val="a"/>
    <w:uiPriority w:val="99"/>
    <w:semiHidden/>
    <w:unhideWhenUsed/>
    <w:rsid w:val="0067492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74927"/>
    <w:rPr>
      <w:b/>
      <w:bCs/>
    </w:rPr>
  </w:style>
</w:styles>
</file>

<file path=word/webSettings.xml><?xml version="1.0" encoding="utf-8"?>
<w:webSettings xmlns:r="http://schemas.openxmlformats.org/officeDocument/2006/relationships" xmlns:w="http://schemas.openxmlformats.org/wordprocessingml/2006/main">
  <w:divs>
    <w:div w:id="762335839">
      <w:bodyDiv w:val="1"/>
      <w:marLeft w:val="0"/>
      <w:marRight w:val="0"/>
      <w:marTop w:val="0"/>
      <w:marBottom w:val="0"/>
      <w:divBdr>
        <w:top w:val="none" w:sz="0" w:space="0" w:color="auto"/>
        <w:left w:val="none" w:sz="0" w:space="0" w:color="auto"/>
        <w:bottom w:val="none" w:sz="0" w:space="0" w:color="auto"/>
        <w:right w:val="none" w:sz="0" w:space="0" w:color="auto"/>
      </w:divBdr>
      <w:divsChild>
        <w:div w:id="697972320">
          <w:marLeft w:val="0"/>
          <w:marRight w:val="0"/>
          <w:marTop w:val="0"/>
          <w:marBottom w:val="0"/>
          <w:divBdr>
            <w:top w:val="none" w:sz="0" w:space="0" w:color="auto"/>
            <w:left w:val="none" w:sz="0" w:space="0" w:color="auto"/>
            <w:bottom w:val="dotted" w:sz="6" w:space="0" w:color="D7D7D7"/>
            <w:right w:val="none" w:sz="0" w:space="0" w:color="auto"/>
          </w:divBdr>
        </w:div>
        <w:div w:id="341706537">
          <w:marLeft w:val="0"/>
          <w:marRight w:val="0"/>
          <w:marTop w:val="0"/>
          <w:marBottom w:val="0"/>
          <w:divBdr>
            <w:top w:val="none" w:sz="0" w:space="0" w:color="auto"/>
            <w:left w:val="none" w:sz="0" w:space="0" w:color="auto"/>
            <w:bottom w:val="none" w:sz="0" w:space="0" w:color="auto"/>
            <w:right w:val="none" w:sz="0" w:space="0" w:color="auto"/>
          </w:divBdr>
        </w:div>
      </w:divsChild>
    </w:div>
    <w:div w:id="1603302549">
      <w:bodyDiv w:val="1"/>
      <w:marLeft w:val="0"/>
      <w:marRight w:val="0"/>
      <w:marTop w:val="0"/>
      <w:marBottom w:val="0"/>
      <w:divBdr>
        <w:top w:val="none" w:sz="0" w:space="0" w:color="auto"/>
        <w:left w:val="none" w:sz="0" w:space="0" w:color="auto"/>
        <w:bottom w:val="none" w:sz="0" w:space="0" w:color="auto"/>
        <w:right w:val="none" w:sz="0" w:space="0" w:color="auto"/>
      </w:divBdr>
      <w:divsChild>
        <w:div w:id="1646424743">
          <w:marLeft w:val="0"/>
          <w:marRight w:val="0"/>
          <w:marTop w:val="0"/>
          <w:marBottom w:val="0"/>
          <w:divBdr>
            <w:top w:val="none" w:sz="0" w:space="0" w:color="auto"/>
            <w:left w:val="none" w:sz="0" w:space="0" w:color="auto"/>
            <w:bottom w:val="dotted" w:sz="6" w:space="0" w:color="D7D7D7"/>
            <w:right w:val="none" w:sz="0" w:space="0" w:color="auto"/>
          </w:divBdr>
        </w:div>
        <w:div w:id="179780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2694</Characters>
  <Application>Microsoft Office Word</Application>
  <DocSecurity>0</DocSecurity>
  <Lines>22</Lines>
  <Paragraphs>6</Paragraphs>
  <ScaleCrop>false</ScaleCrop>
  <Company/>
  <LinksUpToDate>false</LinksUpToDate>
  <CharactersWithSpaces>3160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cp:revision>
  <dcterms:created xsi:type="dcterms:W3CDTF">2014-08-18T07:23:00Z</dcterms:created>
  <dcterms:modified xsi:type="dcterms:W3CDTF">2014-08-18T07:24:00Z</dcterms:modified>
</cp:coreProperties>
</file>