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FEE" w:rsidRPr="00C70FEE" w:rsidRDefault="00C70FEE" w:rsidP="00C70FEE">
      <w:pPr>
        <w:widowControl/>
        <w:shd w:val="clear" w:color="auto" w:fill="FFFFFF"/>
        <w:spacing w:line="326" w:lineRule="atLeast"/>
        <w:jc w:val="center"/>
        <w:rPr>
          <w:rFonts w:ascii="Verdana" w:eastAsia="宋体" w:hAnsi="Verdana" w:cs="宋体"/>
          <w:b/>
          <w:bCs/>
          <w:color w:val="2B2B2B"/>
          <w:kern w:val="0"/>
          <w:sz w:val="19"/>
          <w:szCs w:val="19"/>
        </w:rPr>
      </w:pPr>
      <w:r w:rsidRPr="00C70FEE">
        <w:rPr>
          <w:rFonts w:ascii="Verdana" w:eastAsia="宋体" w:hAnsi="Verdana" w:cs="宋体"/>
          <w:b/>
          <w:bCs/>
          <w:color w:val="2B2B2B"/>
          <w:kern w:val="0"/>
          <w:sz w:val="19"/>
          <w:szCs w:val="19"/>
        </w:rPr>
        <w:t>稳健</w:t>
      </w:r>
      <w:r w:rsidRPr="00C70FEE">
        <w:rPr>
          <w:rFonts w:ascii="Verdana" w:eastAsia="宋体" w:hAnsi="Verdana" w:cs="宋体"/>
          <w:b/>
          <w:bCs/>
          <w:color w:val="2B2B2B"/>
          <w:kern w:val="0"/>
          <w:sz w:val="19"/>
          <w:szCs w:val="19"/>
        </w:rPr>
        <w:t>7</w:t>
      </w:r>
      <w:r w:rsidRPr="00C70FEE">
        <w:rPr>
          <w:rFonts w:ascii="Verdana" w:eastAsia="宋体" w:hAnsi="Verdana" w:cs="宋体"/>
          <w:b/>
          <w:bCs/>
          <w:color w:val="2B2B2B"/>
          <w:kern w:val="0"/>
          <w:sz w:val="19"/>
          <w:szCs w:val="19"/>
        </w:rPr>
        <w:t>号债券投资集合资金信托计划</w:t>
      </w:r>
    </w:p>
    <w:p w:rsidR="00C70FEE" w:rsidRPr="00C70FEE" w:rsidRDefault="00C70FEE" w:rsidP="00C70FEE">
      <w:pPr>
        <w:widowControl/>
        <w:pBdr>
          <w:bottom w:val="single" w:sz="6" w:space="0" w:color="927866"/>
        </w:pBdr>
        <w:shd w:val="clear" w:color="auto" w:fill="FFFFFF"/>
        <w:spacing w:line="489" w:lineRule="atLeast"/>
        <w:jc w:val="center"/>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发布时间：</w:t>
      </w:r>
      <w:r w:rsidRPr="00C70FEE">
        <w:rPr>
          <w:rFonts w:ascii="Verdana" w:eastAsia="宋体" w:hAnsi="Verdana" w:cs="宋体"/>
          <w:color w:val="2B2B2B"/>
          <w:kern w:val="0"/>
          <w:sz w:val="16"/>
          <w:szCs w:val="16"/>
        </w:rPr>
        <w:t xml:space="preserve">2014-09-24 </w:t>
      </w:r>
      <w:r w:rsidRPr="00C70FEE">
        <w:rPr>
          <w:rFonts w:ascii="Verdana" w:eastAsia="宋体" w:hAnsi="Verdana" w:cs="宋体"/>
          <w:color w:val="2B2B2B"/>
          <w:kern w:val="0"/>
          <w:sz w:val="16"/>
          <w:szCs w:val="16"/>
        </w:rPr>
        <w:t>来源：</w:t>
      </w:r>
      <w:r w:rsidRPr="00C70FEE">
        <w:rPr>
          <w:rFonts w:ascii="Verdana" w:eastAsia="宋体" w:hAnsi="Verdana" w:cs="宋体"/>
          <w:color w:val="2B2B2B"/>
          <w:kern w:val="0"/>
          <w:sz w:val="16"/>
        </w:rPr>
        <w:t> </w:t>
      </w:r>
      <w:r w:rsidRPr="00C70FEE">
        <w:rPr>
          <w:rFonts w:ascii="Verdana" w:eastAsia="宋体" w:hAnsi="Verdana" w:cs="宋体"/>
          <w:color w:val="2B2B2B"/>
          <w:kern w:val="0"/>
          <w:sz w:val="16"/>
          <w:szCs w:val="16"/>
        </w:rPr>
        <w:t>浏览次数：</w:t>
      </w:r>
      <w:r w:rsidRPr="00C70FEE">
        <w:rPr>
          <w:rFonts w:ascii="Verdana" w:eastAsia="宋体" w:hAnsi="Verdana" w:cs="宋体"/>
          <w:color w:val="2B2B2B"/>
          <w:kern w:val="0"/>
          <w:sz w:val="16"/>
          <w:szCs w:val="16"/>
        </w:rPr>
        <w:t>109</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一、基本情况</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信托计划名称：</w:t>
      </w:r>
      <w:r w:rsidRPr="00C70FEE">
        <w:rPr>
          <w:rFonts w:ascii="Verdana" w:eastAsia="宋体" w:hAnsi="Verdana" w:cs="宋体"/>
          <w:color w:val="2B2B2B"/>
          <w:kern w:val="0"/>
          <w:sz w:val="16"/>
          <w:szCs w:val="16"/>
        </w:rPr>
        <w:t>四川信托</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稳健</w:t>
      </w:r>
      <w:r w:rsidRPr="00C70FEE">
        <w:rPr>
          <w:rFonts w:ascii="Verdana" w:eastAsia="宋体" w:hAnsi="Verdana" w:cs="宋体"/>
          <w:color w:val="2B2B2B"/>
          <w:kern w:val="0"/>
          <w:sz w:val="16"/>
          <w:szCs w:val="16"/>
        </w:rPr>
        <w:t>7</w:t>
      </w:r>
      <w:r w:rsidRPr="00C70FEE">
        <w:rPr>
          <w:rFonts w:ascii="Verdana" w:eastAsia="宋体" w:hAnsi="Verdana" w:cs="宋体"/>
          <w:color w:val="2B2B2B"/>
          <w:kern w:val="0"/>
          <w:sz w:val="16"/>
          <w:szCs w:val="16"/>
        </w:rPr>
        <w:t>号债券投资集合资金信托计划</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发行规模：</w:t>
      </w:r>
      <w:r w:rsidRPr="00C70FEE">
        <w:rPr>
          <w:rFonts w:ascii="Verdana" w:eastAsia="宋体" w:hAnsi="Verdana" w:cs="宋体"/>
          <w:color w:val="2B2B2B"/>
          <w:kern w:val="0"/>
          <w:sz w:val="16"/>
          <w:szCs w:val="16"/>
        </w:rPr>
        <w:t>17000</w:t>
      </w:r>
      <w:r w:rsidRPr="00C70FEE">
        <w:rPr>
          <w:rFonts w:ascii="Verdana" w:eastAsia="宋体" w:hAnsi="Verdana" w:cs="宋体"/>
          <w:color w:val="2B2B2B"/>
          <w:kern w:val="0"/>
          <w:sz w:val="16"/>
          <w:szCs w:val="16"/>
        </w:rPr>
        <w:t>万（</w:t>
      </w:r>
      <w:r w:rsidRPr="00C70FEE">
        <w:rPr>
          <w:rFonts w:ascii="Verdana" w:eastAsia="宋体" w:hAnsi="Verdana" w:cs="宋体"/>
          <w:color w:val="2B2B2B"/>
          <w:kern w:val="0"/>
          <w:sz w:val="16"/>
          <w:szCs w:val="16"/>
        </w:rPr>
        <w:t>A</w:t>
      </w:r>
      <w:r w:rsidRPr="00C70FEE">
        <w:rPr>
          <w:rFonts w:ascii="Verdana" w:eastAsia="宋体" w:hAnsi="Verdana" w:cs="宋体"/>
          <w:color w:val="2B2B2B"/>
          <w:kern w:val="0"/>
          <w:sz w:val="16"/>
          <w:szCs w:val="16"/>
        </w:rPr>
        <w:t>类受益权类型），以实际募集金额为准</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信托期限：</w:t>
      </w:r>
      <w:r w:rsidRPr="00C70FEE">
        <w:rPr>
          <w:rFonts w:ascii="Verdana" w:eastAsia="宋体" w:hAnsi="Verdana" w:cs="宋体"/>
          <w:color w:val="2B2B2B"/>
          <w:kern w:val="0"/>
          <w:sz w:val="16"/>
          <w:szCs w:val="16"/>
        </w:rPr>
        <w:t>1</w:t>
      </w:r>
      <w:r w:rsidRPr="00C70FEE">
        <w:rPr>
          <w:rFonts w:ascii="Verdana" w:eastAsia="宋体" w:hAnsi="Verdana" w:cs="宋体"/>
          <w:color w:val="2B2B2B"/>
          <w:kern w:val="0"/>
          <w:sz w:val="16"/>
          <w:szCs w:val="16"/>
        </w:rPr>
        <w:t>年</w:t>
      </w: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经受托人与投资顾问协商一致后最多可延期</w:t>
      </w:r>
      <w:r w:rsidRPr="00C70FEE">
        <w:rPr>
          <w:rFonts w:ascii="Verdana" w:eastAsia="宋体" w:hAnsi="Verdana" w:cs="宋体"/>
          <w:color w:val="2B2B2B"/>
          <w:kern w:val="0"/>
          <w:sz w:val="16"/>
          <w:szCs w:val="16"/>
        </w:rPr>
        <w:t>1</w:t>
      </w:r>
      <w:r w:rsidRPr="00C70FEE">
        <w:rPr>
          <w:rFonts w:ascii="Verdana" w:eastAsia="宋体" w:hAnsi="Verdana" w:cs="宋体"/>
          <w:color w:val="2B2B2B"/>
          <w:kern w:val="0"/>
          <w:sz w:val="16"/>
          <w:szCs w:val="16"/>
        </w:rPr>
        <w:t>年</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推介期：</w:t>
      </w:r>
      <w:r w:rsidRPr="00C70FEE">
        <w:rPr>
          <w:rFonts w:ascii="Verdana" w:eastAsia="宋体" w:hAnsi="Verdana" w:cs="宋体"/>
          <w:color w:val="2B2B2B"/>
          <w:kern w:val="0"/>
          <w:sz w:val="16"/>
        </w:rPr>
        <w:t> </w:t>
      </w:r>
      <w:r w:rsidRPr="00C70FEE">
        <w:rPr>
          <w:rFonts w:ascii="Verdana" w:eastAsia="宋体" w:hAnsi="Verdana" w:cs="宋体"/>
          <w:color w:val="2B2B2B"/>
          <w:kern w:val="0"/>
          <w:sz w:val="16"/>
          <w:szCs w:val="16"/>
        </w:rPr>
        <w:t>2014</w:t>
      </w:r>
      <w:r w:rsidRPr="00C70FEE">
        <w:rPr>
          <w:rFonts w:ascii="Verdana" w:eastAsia="宋体" w:hAnsi="Verdana" w:cs="宋体"/>
          <w:color w:val="2B2B2B"/>
          <w:kern w:val="0"/>
          <w:sz w:val="16"/>
          <w:szCs w:val="16"/>
        </w:rPr>
        <w:t>年</w:t>
      </w:r>
      <w:r w:rsidRPr="00C70FEE">
        <w:rPr>
          <w:rFonts w:ascii="Verdana" w:eastAsia="宋体" w:hAnsi="Verdana" w:cs="宋体"/>
          <w:color w:val="2B2B2B"/>
          <w:kern w:val="0"/>
          <w:sz w:val="16"/>
          <w:u w:val="single"/>
        </w:rPr>
        <w:t> </w:t>
      </w:r>
      <w:r w:rsidRPr="00C70FEE">
        <w:rPr>
          <w:rFonts w:ascii="Verdana" w:eastAsia="宋体" w:hAnsi="Verdana" w:cs="宋体"/>
          <w:color w:val="2B2B2B"/>
          <w:kern w:val="0"/>
          <w:sz w:val="16"/>
          <w:szCs w:val="16"/>
          <w:u w:val="single"/>
        </w:rPr>
        <w:t>9</w:t>
      </w:r>
      <w:r w:rsidRPr="00C70FEE">
        <w:rPr>
          <w:rFonts w:ascii="Verdana" w:eastAsia="宋体" w:hAnsi="Verdana" w:cs="宋体"/>
          <w:color w:val="2B2B2B"/>
          <w:kern w:val="0"/>
          <w:sz w:val="16"/>
          <w:szCs w:val="16"/>
        </w:rPr>
        <w:t>月</w:t>
      </w:r>
      <w:r w:rsidRPr="00C70FEE">
        <w:rPr>
          <w:rFonts w:ascii="Verdana" w:eastAsia="宋体" w:hAnsi="Verdana" w:cs="宋体"/>
          <w:color w:val="2B2B2B"/>
          <w:kern w:val="0"/>
          <w:sz w:val="16"/>
          <w:u w:val="single"/>
        </w:rPr>
        <w:t> </w:t>
      </w:r>
      <w:r w:rsidRPr="00C70FEE">
        <w:rPr>
          <w:rFonts w:ascii="Verdana" w:eastAsia="宋体" w:hAnsi="Verdana" w:cs="宋体"/>
          <w:color w:val="2B2B2B"/>
          <w:kern w:val="0"/>
          <w:sz w:val="16"/>
          <w:szCs w:val="16"/>
          <w:u w:val="single"/>
        </w:rPr>
        <w:t>1</w:t>
      </w:r>
      <w:r w:rsidRPr="00C70FEE">
        <w:rPr>
          <w:rFonts w:ascii="Verdana" w:eastAsia="宋体" w:hAnsi="Verdana" w:cs="宋体"/>
          <w:color w:val="2B2B2B"/>
          <w:kern w:val="0"/>
          <w:sz w:val="16"/>
          <w:szCs w:val="16"/>
        </w:rPr>
        <w:t>日至</w:t>
      </w:r>
      <w:r w:rsidRPr="00C70FEE">
        <w:rPr>
          <w:rFonts w:ascii="Verdana" w:eastAsia="宋体" w:hAnsi="Verdana" w:cs="宋体"/>
          <w:color w:val="2B2B2B"/>
          <w:kern w:val="0"/>
          <w:sz w:val="16"/>
          <w:szCs w:val="16"/>
        </w:rPr>
        <w:t>2014</w:t>
      </w:r>
      <w:r w:rsidRPr="00C70FEE">
        <w:rPr>
          <w:rFonts w:ascii="Verdana" w:eastAsia="宋体" w:hAnsi="Verdana" w:cs="宋体"/>
          <w:color w:val="2B2B2B"/>
          <w:kern w:val="0"/>
          <w:sz w:val="16"/>
          <w:szCs w:val="16"/>
        </w:rPr>
        <w:t>年</w:t>
      </w:r>
      <w:r w:rsidRPr="00C70FEE">
        <w:rPr>
          <w:rFonts w:ascii="Verdana" w:eastAsia="宋体" w:hAnsi="Verdana" w:cs="宋体"/>
          <w:color w:val="2B2B2B"/>
          <w:kern w:val="0"/>
          <w:sz w:val="16"/>
          <w:u w:val="single"/>
        </w:rPr>
        <w:t> </w:t>
      </w:r>
      <w:r w:rsidRPr="00C70FEE">
        <w:rPr>
          <w:rFonts w:ascii="Verdana" w:eastAsia="宋体" w:hAnsi="Verdana" w:cs="宋体"/>
          <w:color w:val="2B2B2B"/>
          <w:kern w:val="0"/>
          <w:sz w:val="16"/>
          <w:szCs w:val="16"/>
          <w:u w:val="single"/>
        </w:rPr>
        <w:t>9</w:t>
      </w:r>
      <w:r w:rsidRPr="00C70FEE">
        <w:rPr>
          <w:rFonts w:ascii="Verdana" w:eastAsia="宋体" w:hAnsi="Verdana" w:cs="宋体"/>
          <w:color w:val="2B2B2B"/>
          <w:kern w:val="0"/>
          <w:sz w:val="16"/>
          <w:szCs w:val="16"/>
        </w:rPr>
        <w:t>月</w:t>
      </w:r>
      <w:r w:rsidRPr="00C70FEE">
        <w:rPr>
          <w:rFonts w:ascii="Verdana" w:eastAsia="宋体" w:hAnsi="Verdana" w:cs="宋体"/>
          <w:color w:val="2B2B2B"/>
          <w:kern w:val="0"/>
          <w:sz w:val="16"/>
          <w:u w:val="single"/>
        </w:rPr>
        <w:t> </w:t>
      </w:r>
      <w:r w:rsidRPr="00C70FEE">
        <w:rPr>
          <w:rFonts w:ascii="Verdana" w:eastAsia="宋体" w:hAnsi="Verdana" w:cs="宋体"/>
          <w:color w:val="2B2B2B"/>
          <w:kern w:val="0"/>
          <w:sz w:val="16"/>
          <w:szCs w:val="16"/>
          <w:u w:val="single"/>
        </w:rPr>
        <w:t>30</w:t>
      </w:r>
      <w:r w:rsidRPr="00C70FEE">
        <w:rPr>
          <w:rFonts w:ascii="Verdana" w:eastAsia="宋体" w:hAnsi="Verdana" w:cs="宋体"/>
          <w:color w:val="2B2B2B"/>
          <w:kern w:val="0"/>
          <w:sz w:val="16"/>
          <w:u w:val="single"/>
        </w:rPr>
        <w:t> </w:t>
      </w:r>
      <w:r w:rsidRPr="00C70FEE">
        <w:rPr>
          <w:rFonts w:ascii="Verdana" w:eastAsia="宋体" w:hAnsi="Verdana" w:cs="宋体"/>
          <w:color w:val="2B2B2B"/>
          <w:kern w:val="0"/>
          <w:sz w:val="16"/>
          <w:szCs w:val="16"/>
        </w:rPr>
        <w:t>日，受托人可以根据情况提前结束或推迟推介期。</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认购要求：</w:t>
      </w:r>
      <w:r w:rsidRPr="00C70FEE">
        <w:rPr>
          <w:rFonts w:ascii="Verdana" w:eastAsia="宋体" w:hAnsi="Verdana" w:cs="宋体"/>
          <w:color w:val="2B2B2B"/>
          <w:kern w:val="0"/>
          <w:sz w:val="16"/>
          <w:szCs w:val="16"/>
        </w:rPr>
        <w:t>起点金额为</w:t>
      </w:r>
      <w:r w:rsidRPr="00C70FEE">
        <w:rPr>
          <w:rFonts w:ascii="Verdana" w:eastAsia="宋体" w:hAnsi="Verdana" w:cs="宋体"/>
          <w:color w:val="2B2B2B"/>
          <w:kern w:val="0"/>
          <w:sz w:val="16"/>
          <w:szCs w:val="16"/>
        </w:rPr>
        <w:t>100</w:t>
      </w:r>
      <w:r w:rsidRPr="00C70FEE">
        <w:rPr>
          <w:rFonts w:ascii="Verdana" w:eastAsia="宋体" w:hAnsi="Verdana" w:cs="宋体"/>
          <w:color w:val="2B2B2B"/>
          <w:kern w:val="0"/>
          <w:sz w:val="16"/>
          <w:szCs w:val="16"/>
        </w:rPr>
        <w:t>万元，以</w:t>
      </w:r>
      <w:r w:rsidRPr="00C70FEE">
        <w:rPr>
          <w:rFonts w:ascii="Verdana" w:eastAsia="宋体" w:hAnsi="Verdana" w:cs="宋体"/>
          <w:color w:val="2B2B2B"/>
          <w:kern w:val="0"/>
          <w:sz w:val="16"/>
          <w:szCs w:val="16"/>
        </w:rPr>
        <w:t>10</w:t>
      </w:r>
      <w:r w:rsidRPr="00C70FEE">
        <w:rPr>
          <w:rFonts w:ascii="Verdana" w:eastAsia="宋体" w:hAnsi="Verdana" w:cs="宋体"/>
          <w:color w:val="2B2B2B"/>
          <w:kern w:val="0"/>
          <w:sz w:val="16"/>
          <w:szCs w:val="16"/>
        </w:rPr>
        <w:t>万元的整数倍递增（金额优先、同额时间优先、额满即止）。</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二、预期收益率及收益分配</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投资者预期年化收益率表：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075"/>
        <w:gridCol w:w="3150"/>
      </w:tblGrid>
      <w:tr w:rsidR="00C70FEE" w:rsidRPr="00C70FEE" w:rsidTr="00C70FEE">
        <w:trPr>
          <w:tblCellSpacing w:w="0" w:type="dxa"/>
          <w:jc w:val="center"/>
        </w:trPr>
        <w:tc>
          <w:tcPr>
            <w:tcW w:w="3075" w:type="dxa"/>
            <w:tcBorders>
              <w:top w:val="outset" w:sz="6" w:space="0" w:color="auto"/>
              <w:left w:val="outset" w:sz="6" w:space="0" w:color="auto"/>
              <w:bottom w:val="outset" w:sz="6" w:space="0" w:color="auto"/>
              <w:right w:val="outset" w:sz="6" w:space="0" w:color="auto"/>
            </w:tcBorders>
            <w:vAlign w:val="center"/>
            <w:hideMark/>
          </w:tcPr>
          <w:p w:rsidR="00C70FEE" w:rsidRPr="00C70FEE" w:rsidRDefault="00C70FEE" w:rsidP="00C70FEE">
            <w:pPr>
              <w:widowControl/>
              <w:jc w:val="center"/>
              <w:rPr>
                <w:rFonts w:ascii="宋体" w:eastAsia="宋体" w:hAnsi="宋体" w:cs="宋体"/>
                <w:kern w:val="0"/>
                <w:sz w:val="24"/>
                <w:szCs w:val="24"/>
              </w:rPr>
            </w:pPr>
            <w:r w:rsidRPr="00C70FEE">
              <w:rPr>
                <w:rFonts w:ascii="宋体" w:eastAsia="宋体" w:hAnsi="宋体" w:cs="宋体"/>
                <w:kern w:val="0"/>
                <w:sz w:val="24"/>
                <w:szCs w:val="24"/>
              </w:rPr>
              <w:t>认购金额</w:t>
            </w:r>
          </w:p>
        </w:tc>
        <w:tc>
          <w:tcPr>
            <w:tcW w:w="3150" w:type="dxa"/>
            <w:tcBorders>
              <w:top w:val="outset" w:sz="6" w:space="0" w:color="auto"/>
              <w:left w:val="outset" w:sz="6" w:space="0" w:color="auto"/>
              <w:bottom w:val="outset" w:sz="6" w:space="0" w:color="auto"/>
              <w:right w:val="outset" w:sz="6" w:space="0" w:color="auto"/>
            </w:tcBorders>
            <w:vAlign w:val="center"/>
            <w:hideMark/>
          </w:tcPr>
          <w:p w:rsidR="00C70FEE" w:rsidRPr="00C70FEE" w:rsidRDefault="00C70FEE" w:rsidP="00C70FEE">
            <w:pPr>
              <w:widowControl/>
              <w:jc w:val="center"/>
              <w:rPr>
                <w:rFonts w:ascii="宋体" w:eastAsia="宋体" w:hAnsi="宋体" w:cs="宋体"/>
                <w:kern w:val="0"/>
                <w:sz w:val="24"/>
                <w:szCs w:val="24"/>
              </w:rPr>
            </w:pPr>
            <w:r w:rsidRPr="00C70FEE">
              <w:rPr>
                <w:rFonts w:ascii="宋体" w:eastAsia="宋体" w:hAnsi="宋体" w:cs="宋体"/>
                <w:kern w:val="0"/>
                <w:sz w:val="24"/>
                <w:szCs w:val="24"/>
              </w:rPr>
              <w:t>预期年化收益率</w:t>
            </w:r>
          </w:p>
        </w:tc>
      </w:tr>
      <w:tr w:rsidR="00C70FEE" w:rsidRPr="00C70FEE" w:rsidTr="00C70FEE">
        <w:trPr>
          <w:tblCellSpacing w:w="0" w:type="dxa"/>
          <w:jc w:val="center"/>
        </w:trPr>
        <w:tc>
          <w:tcPr>
            <w:tcW w:w="3075" w:type="dxa"/>
            <w:tcBorders>
              <w:top w:val="outset" w:sz="6" w:space="0" w:color="auto"/>
              <w:left w:val="outset" w:sz="6" w:space="0" w:color="auto"/>
              <w:bottom w:val="outset" w:sz="6" w:space="0" w:color="auto"/>
              <w:right w:val="outset" w:sz="6" w:space="0" w:color="auto"/>
            </w:tcBorders>
            <w:vAlign w:val="center"/>
            <w:hideMark/>
          </w:tcPr>
          <w:p w:rsidR="00C70FEE" w:rsidRPr="00C70FEE" w:rsidRDefault="00C70FEE" w:rsidP="00C70FEE">
            <w:pPr>
              <w:widowControl/>
              <w:jc w:val="center"/>
              <w:rPr>
                <w:rFonts w:ascii="宋体" w:eastAsia="宋体" w:hAnsi="宋体" w:cs="宋体"/>
                <w:kern w:val="0"/>
                <w:sz w:val="24"/>
                <w:szCs w:val="24"/>
              </w:rPr>
            </w:pPr>
            <w:r w:rsidRPr="00C70FEE">
              <w:rPr>
                <w:rFonts w:ascii="宋体" w:eastAsia="宋体" w:hAnsi="宋体" w:cs="宋体"/>
                <w:kern w:val="0"/>
                <w:sz w:val="24"/>
                <w:szCs w:val="24"/>
              </w:rPr>
              <w:t>100万元（含）以上</w:t>
            </w:r>
          </w:p>
        </w:tc>
        <w:tc>
          <w:tcPr>
            <w:tcW w:w="3150" w:type="dxa"/>
            <w:tcBorders>
              <w:top w:val="outset" w:sz="6" w:space="0" w:color="auto"/>
              <w:left w:val="outset" w:sz="6" w:space="0" w:color="auto"/>
              <w:bottom w:val="outset" w:sz="6" w:space="0" w:color="auto"/>
              <w:right w:val="outset" w:sz="6" w:space="0" w:color="auto"/>
            </w:tcBorders>
            <w:vAlign w:val="center"/>
            <w:hideMark/>
          </w:tcPr>
          <w:p w:rsidR="00C70FEE" w:rsidRPr="00C70FEE" w:rsidRDefault="00C70FEE" w:rsidP="00C70FEE">
            <w:pPr>
              <w:widowControl/>
              <w:jc w:val="center"/>
              <w:rPr>
                <w:rFonts w:ascii="宋体" w:eastAsia="宋体" w:hAnsi="宋体" w:cs="宋体"/>
                <w:kern w:val="0"/>
                <w:sz w:val="24"/>
                <w:szCs w:val="24"/>
              </w:rPr>
            </w:pPr>
            <w:r w:rsidRPr="00C70FEE">
              <w:rPr>
                <w:rFonts w:ascii="宋体" w:eastAsia="宋体" w:hAnsi="宋体" w:cs="宋体"/>
                <w:kern w:val="0"/>
                <w:sz w:val="24"/>
                <w:szCs w:val="24"/>
              </w:rPr>
              <w:t>9%</w:t>
            </w:r>
          </w:p>
        </w:tc>
      </w:tr>
    </w:tbl>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收益分配方式：</w:t>
      </w:r>
      <w:r w:rsidRPr="00C70FEE">
        <w:rPr>
          <w:rFonts w:ascii="Verdana" w:eastAsia="宋体" w:hAnsi="Verdana" w:cs="宋体"/>
          <w:color w:val="2B2B2B"/>
          <w:kern w:val="0"/>
          <w:sz w:val="16"/>
          <w:szCs w:val="16"/>
        </w:rPr>
        <w:t>成立满一年后及信托终止后分配信托利益</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三、信托财产的管理、运用及投资范围</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投资顾问：</w:t>
      </w:r>
      <w:r w:rsidRPr="00C70FEE">
        <w:rPr>
          <w:rFonts w:ascii="Verdana" w:eastAsia="宋体" w:hAnsi="Verdana" w:cs="宋体"/>
          <w:color w:val="2B2B2B"/>
          <w:kern w:val="0"/>
          <w:sz w:val="16"/>
          <w:szCs w:val="16"/>
        </w:rPr>
        <w:t>深圳睿盈股权投资基金管理有限公司</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投资范围：</w:t>
      </w:r>
      <w:r w:rsidRPr="00C70FEE">
        <w:rPr>
          <w:rFonts w:ascii="Verdana" w:eastAsia="宋体" w:hAnsi="Verdana" w:cs="宋体"/>
          <w:color w:val="2B2B2B"/>
          <w:kern w:val="0"/>
          <w:sz w:val="16"/>
          <w:szCs w:val="16"/>
        </w:rPr>
        <w:t>国内固定收益类产品（包括：在国内交易所</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银行间市场上市交易的国债、地方政府债、央行票据、金融债、企业债、公司债、中期票据、短期融资券、资产支持票据、各类私募债、可分离债纯债部分、可转债、银行存款等，以及投资于上述品种的基金产品（含基金专户）、银行理财计划、券商资产管理计划、信托计划等稳健型产品）及投资于</w:t>
      </w:r>
      <w:r w:rsidRPr="00C70FEE">
        <w:rPr>
          <w:rFonts w:ascii="Verdana" w:eastAsia="宋体" w:hAnsi="Verdana" w:cs="宋体"/>
          <w:color w:val="2B2B2B"/>
          <w:kern w:val="0"/>
          <w:sz w:val="16"/>
          <w:szCs w:val="16"/>
        </w:rPr>
        <w:t>T+0</w:t>
      </w:r>
      <w:r w:rsidRPr="00C70FEE">
        <w:rPr>
          <w:rFonts w:ascii="Verdana" w:eastAsia="宋体" w:hAnsi="Verdana" w:cs="宋体"/>
          <w:color w:val="2B2B2B"/>
          <w:kern w:val="0"/>
          <w:sz w:val="16"/>
          <w:szCs w:val="16"/>
        </w:rPr>
        <w:t>信托受益权转让业务。</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四、风险控制</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（一）设计分档的受益权类型</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以受益权分档的结构化设计，以</w:t>
      </w:r>
      <w:r w:rsidRPr="00C70FEE">
        <w:rPr>
          <w:rFonts w:ascii="Verdana" w:eastAsia="宋体" w:hAnsi="Verdana" w:cs="宋体"/>
          <w:color w:val="2B2B2B"/>
          <w:kern w:val="0"/>
          <w:sz w:val="16"/>
          <w:szCs w:val="16"/>
        </w:rPr>
        <w:t>B</w:t>
      </w:r>
      <w:r w:rsidRPr="00C70FEE">
        <w:rPr>
          <w:rFonts w:ascii="Verdana" w:eastAsia="宋体" w:hAnsi="Verdana" w:cs="宋体"/>
          <w:color w:val="2B2B2B"/>
          <w:kern w:val="0"/>
          <w:sz w:val="16"/>
          <w:szCs w:val="16"/>
        </w:rPr>
        <w:t>档受益权资金为</w:t>
      </w:r>
      <w:r w:rsidRPr="00C70FEE">
        <w:rPr>
          <w:rFonts w:ascii="Verdana" w:eastAsia="宋体" w:hAnsi="Verdana" w:cs="宋体"/>
          <w:color w:val="2B2B2B"/>
          <w:kern w:val="0"/>
          <w:sz w:val="16"/>
          <w:szCs w:val="16"/>
        </w:rPr>
        <w:t>A</w:t>
      </w:r>
      <w:r w:rsidRPr="00C70FEE">
        <w:rPr>
          <w:rFonts w:ascii="Verdana" w:eastAsia="宋体" w:hAnsi="Verdana" w:cs="宋体"/>
          <w:color w:val="2B2B2B"/>
          <w:kern w:val="0"/>
          <w:sz w:val="16"/>
          <w:szCs w:val="16"/>
        </w:rPr>
        <w:t>档受益权资金提供</w:t>
      </w:r>
      <w:r w:rsidRPr="00C70FEE">
        <w:rPr>
          <w:rFonts w:ascii="Verdana" w:eastAsia="宋体" w:hAnsi="Verdana" w:cs="宋体"/>
          <w:b/>
          <w:bCs/>
          <w:color w:val="2B2B2B"/>
          <w:kern w:val="0"/>
          <w:sz w:val="16"/>
          <w:szCs w:val="16"/>
        </w:rPr>
        <w:t>16.19%</w:t>
      </w:r>
      <w:r w:rsidRPr="00C70FEE">
        <w:rPr>
          <w:rFonts w:ascii="Verdana" w:eastAsia="宋体" w:hAnsi="Verdana" w:cs="宋体"/>
          <w:b/>
          <w:bCs/>
          <w:color w:val="2B2B2B"/>
          <w:kern w:val="0"/>
          <w:sz w:val="16"/>
          <w:szCs w:val="16"/>
        </w:rPr>
        <w:t>的本金和利息安全边际</w:t>
      </w:r>
      <w:r w:rsidRPr="00C70FEE">
        <w:rPr>
          <w:rFonts w:ascii="Verdana" w:eastAsia="宋体" w:hAnsi="Verdana" w:cs="宋体"/>
          <w:color w:val="2B2B2B"/>
          <w:kern w:val="0"/>
          <w:sz w:val="16"/>
          <w:szCs w:val="16"/>
        </w:rPr>
        <w:t>。</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（二）设定严格的投资限制</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1</w:t>
      </w:r>
      <w:r w:rsidRPr="00C70FEE">
        <w:rPr>
          <w:rFonts w:ascii="Verdana" w:eastAsia="宋体" w:hAnsi="Verdana" w:cs="宋体"/>
          <w:color w:val="2B2B2B"/>
          <w:kern w:val="0"/>
          <w:sz w:val="16"/>
          <w:szCs w:val="16"/>
        </w:rPr>
        <w:t>）投资于银行间市场和交易所债券比例为</w:t>
      </w:r>
      <w:r w:rsidRPr="00C70FEE">
        <w:rPr>
          <w:rFonts w:ascii="Verdana" w:eastAsia="宋体" w:hAnsi="Verdana" w:cs="宋体"/>
          <w:color w:val="2B2B2B"/>
          <w:kern w:val="0"/>
          <w:sz w:val="16"/>
          <w:szCs w:val="16"/>
        </w:rPr>
        <w:t>0-100</w:t>
      </w:r>
      <w:r w:rsidRPr="00C70FEE">
        <w:rPr>
          <w:rFonts w:ascii="Verdana" w:eastAsia="宋体" w:hAnsi="Verdana" w:cs="宋体"/>
          <w:color w:val="2B2B2B"/>
          <w:kern w:val="0"/>
          <w:sz w:val="16"/>
          <w:szCs w:val="16"/>
        </w:rPr>
        <w:t>％；</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2</w:t>
      </w:r>
      <w:r w:rsidRPr="00C70FEE">
        <w:rPr>
          <w:rFonts w:ascii="Verdana" w:eastAsia="宋体" w:hAnsi="Verdana" w:cs="宋体"/>
          <w:color w:val="2B2B2B"/>
          <w:kern w:val="0"/>
          <w:sz w:val="16"/>
          <w:szCs w:val="16"/>
        </w:rPr>
        <w:t>）所投资的企业债、公司债、中期票据的债项信用评级在</w:t>
      </w:r>
      <w:r w:rsidRPr="00C70FEE">
        <w:rPr>
          <w:rFonts w:ascii="Verdana" w:eastAsia="宋体" w:hAnsi="Verdana" w:cs="宋体"/>
          <w:color w:val="2B2B2B"/>
          <w:kern w:val="0"/>
          <w:sz w:val="16"/>
          <w:szCs w:val="16"/>
        </w:rPr>
        <w:t>AA-</w:t>
      </w:r>
      <w:r w:rsidRPr="00C70FEE">
        <w:rPr>
          <w:rFonts w:ascii="Verdana" w:eastAsia="宋体" w:hAnsi="Verdana" w:cs="宋体"/>
          <w:color w:val="2B2B2B"/>
          <w:kern w:val="0"/>
          <w:sz w:val="16"/>
          <w:szCs w:val="16"/>
        </w:rPr>
        <w:t>级（含）以上，短期融资券的债项评级为</w:t>
      </w:r>
      <w:r w:rsidRPr="00C70FEE">
        <w:rPr>
          <w:rFonts w:ascii="Verdana" w:eastAsia="宋体" w:hAnsi="Verdana" w:cs="宋体"/>
          <w:color w:val="2B2B2B"/>
          <w:kern w:val="0"/>
          <w:sz w:val="16"/>
          <w:szCs w:val="16"/>
        </w:rPr>
        <w:t>A-1</w:t>
      </w:r>
      <w:r w:rsidRPr="00C70FEE">
        <w:rPr>
          <w:rFonts w:ascii="Verdana" w:eastAsia="宋体" w:hAnsi="Verdana" w:cs="宋体"/>
          <w:color w:val="2B2B2B"/>
          <w:kern w:val="0"/>
          <w:sz w:val="16"/>
          <w:szCs w:val="16"/>
        </w:rPr>
        <w:t>级；</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3</w:t>
      </w:r>
      <w:r w:rsidRPr="00C70FEE">
        <w:rPr>
          <w:rFonts w:ascii="Verdana" w:eastAsia="宋体" w:hAnsi="Verdana" w:cs="宋体"/>
          <w:color w:val="2B2B2B"/>
          <w:kern w:val="0"/>
          <w:sz w:val="16"/>
          <w:szCs w:val="16"/>
        </w:rPr>
        <w:t>）投资组合平均剩余期限不超过</w:t>
      </w:r>
      <w:r w:rsidRPr="00C70FEE">
        <w:rPr>
          <w:rFonts w:ascii="Verdana" w:eastAsia="宋体" w:hAnsi="Verdana" w:cs="宋体"/>
          <w:color w:val="2B2B2B"/>
          <w:kern w:val="0"/>
          <w:sz w:val="16"/>
          <w:szCs w:val="16"/>
        </w:rPr>
        <w:t>7</w:t>
      </w:r>
      <w:r w:rsidRPr="00C70FEE">
        <w:rPr>
          <w:rFonts w:ascii="Verdana" w:eastAsia="宋体" w:hAnsi="Verdana" w:cs="宋体"/>
          <w:color w:val="2B2B2B"/>
          <w:kern w:val="0"/>
          <w:sz w:val="16"/>
          <w:szCs w:val="16"/>
        </w:rPr>
        <w:t>年，央行票据、国债、政策性金融债单一品种剩余期限不超过</w:t>
      </w:r>
      <w:r w:rsidRPr="00C70FEE">
        <w:rPr>
          <w:rFonts w:ascii="Verdana" w:eastAsia="宋体" w:hAnsi="Verdana" w:cs="宋体"/>
          <w:color w:val="2B2B2B"/>
          <w:kern w:val="0"/>
          <w:sz w:val="16"/>
          <w:szCs w:val="16"/>
        </w:rPr>
        <w:t>30</w:t>
      </w:r>
      <w:r w:rsidRPr="00C70FEE">
        <w:rPr>
          <w:rFonts w:ascii="Verdana" w:eastAsia="宋体" w:hAnsi="Verdana" w:cs="宋体"/>
          <w:color w:val="2B2B2B"/>
          <w:kern w:val="0"/>
          <w:sz w:val="16"/>
          <w:szCs w:val="16"/>
        </w:rPr>
        <w:t>年，其他单一品种剩余期限不超过</w:t>
      </w:r>
      <w:r w:rsidRPr="00C70FEE">
        <w:rPr>
          <w:rFonts w:ascii="Verdana" w:eastAsia="宋体" w:hAnsi="Verdana" w:cs="宋体"/>
          <w:color w:val="2B2B2B"/>
          <w:kern w:val="0"/>
          <w:sz w:val="16"/>
          <w:szCs w:val="16"/>
        </w:rPr>
        <w:t>7</w:t>
      </w:r>
      <w:r w:rsidRPr="00C70FEE">
        <w:rPr>
          <w:rFonts w:ascii="Verdana" w:eastAsia="宋体" w:hAnsi="Verdana" w:cs="宋体"/>
          <w:color w:val="2B2B2B"/>
          <w:kern w:val="0"/>
          <w:sz w:val="16"/>
          <w:szCs w:val="16"/>
        </w:rPr>
        <w:t>年；</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4</w:t>
      </w:r>
      <w:r w:rsidRPr="00C70FEE">
        <w:rPr>
          <w:rFonts w:ascii="Verdana" w:eastAsia="宋体" w:hAnsi="Verdana" w:cs="宋体"/>
          <w:color w:val="2B2B2B"/>
          <w:kern w:val="0"/>
          <w:sz w:val="16"/>
          <w:szCs w:val="16"/>
        </w:rPr>
        <w:t>）所投资债券的发行主体仅限于国有控股企业及大型上市公司；</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5</w:t>
      </w:r>
      <w:r w:rsidRPr="00C70FEE">
        <w:rPr>
          <w:rFonts w:ascii="Verdana" w:eastAsia="宋体" w:hAnsi="Verdana" w:cs="宋体"/>
          <w:color w:val="2B2B2B"/>
          <w:kern w:val="0"/>
          <w:sz w:val="16"/>
          <w:szCs w:val="16"/>
        </w:rPr>
        <w:t>）本合同终止前</w:t>
      </w:r>
      <w:r w:rsidRPr="00C70FEE">
        <w:rPr>
          <w:rFonts w:ascii="Verdana" w:eastAsia="宋体" w:hAnsi="Verdana" w:cs="宋体"/>
          <w:color w:val="2B2B2B"/>
          <w:kern w:val="0"/>
          <w:sz w:val="16"/>
          <w:szCs w:val="16"/>
        </w:rPr>
        <w:t>5</w:t>
      </w:r>
      <w:r w:rsidRPr="00C70FEE">
        <w:rPr>
          <w:rFonts w:ascii="Verdana" w:eastAsia="宋体" w:hAnsi="Verdana" w:cs="宋体"/>
          <w:color w:val="2B2B2B"/>
          <w:kern w:val="0"/>
          <w:sz w:val="16"/>
          <w:szCs w:val="16"/>
        </w:rPr>
        <w:t>个工作日（含当日）开始将委托资产项下的所有证券或其他非现金财产应全部售出；</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6</w:t>
      </w:r>
      <w:r w:rsidRPr="00C70FEE">
        <w:rPr>
          <w:rFonts w:ascii="Verdana" w:eastAsia="宋体" w:hAnsi="Verdana" w:cs="宋体"/>
          <w:color w:val="2B2B2B"/>
          <w:kern w:val="0"/>
          <w:sz w:val="16"/>
          <w:szCs w:val="16"/>
        </w:rPr>
        <w:t>）不得投资于该定向资产管理计划委托人以及其关联方作为发行主体发行的证券、债券或非债券类金融工具；</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7</w:t>
      </w:r>
      <w:r w:rsidRPr="00C70FEE">
        <w:rPr>
          <w:rFonts w:ascii="Verdana" w:eastAsia="宋体" w:hAnsi="Verdana" w:cs="宋体"/>
          <w:color w:val="2B2B2B"/>
          <w:kern w:val="0"/>
          <w:sz w:val="16"/>
          <w:szCs w:val="16"/>
        </w:rPr>
        <w:t>）该资产管理计划所管理的委托财产不超过初始信托财产金额的</w:t>
      </w:r>
      <w:r w:rsidRPr="00C70FEE">
        <w:rPr>
          <w:rFonts w:ascii="Verdana" w:eastAsia="宋体" w:hAnsi="Verdana" w:cs="宋体"/>
          <w:color w:val="2B2B2B"/>
          <w:kern w:val="0"/>
          <w:sz w:val="16"/>
          <w:szCs w:val="16"/>
        </w:rPr>
        <w:t>500</w:t>
      </w:r>
      <w:r w:rsidRPr="00C70FEE">
        <w:rPr>
          <w:rFonts w:ascii="Verdana" w:eastAsia="宋体" w:hAnsi="Verdana" w:cs="宋体"/>
          <w:color w:val="2B2B2B"/>
          <w:kern w:val="0"/>
          <w:sz w:val="16"/>
          <w:szCs w:val="16"/>
        </w:rPr>
        <w:t>％；</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8</w:t>
      </w:r>
      <w:r w:rsidRPr="00C70FEE">
        <w:rPr>
          <w:rFonts w:ascii="Verdana" w:eastAsia="宋体" w:hAnsi="Verdana" w:cs="宋体"/>
          <w:color w:val="2B2B2B"/>
          <w:kern w:val="0"/>
          <w:sz w:val="16"/>
          <w:szCs w:val="16"/>
        </w:rPr>
        <w:t>）本资产管理计划的投资应当符合法律法规的其他规定；</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9</w:t>
      </w:r>
      <w:r w:rsidRPr="00C70FEE">
        <w:rPr>
          <w:rFonts w:ascii="Verdana" w:eastAsia="宋体" w:hAnsi="Verdana" w:cs="宋体"/>
          <w:color w:val="2B2B2B"/>
          <w:kern w:val="0"/>
          <w:sz w:val="16"/>
          <w:szCs w:val="16"/>
        </w:rPr>
        <w:t>）如本资产管理计划扩大投资范围或调整投资比例，管理人须征得委托人同意。</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w:t>
      </w:r>
      <w:r w:rsidRPr="00C70FEE">
        <w:rPr>
          <w:rFonts w:ascii="Verdana" w:eastAsia="宋体" w:hAnsi="Verdana" w:cs="宋体"/>
          <w:b/>
          <w:bCs/>
          <w:color w:val="2B2B2B"/>
          <w:kern w:val="0"/>
          <w:sz w:val="16"/>
          <w:szCs w:val="16"/>
        </w:rPr>
        <w:t>3</w:t>
      </w:r>
      <w:r w:rsidRPr="00C70FEE">
        <w:rPr>
          <w:rFonts w:ascii="Verdana" w:eastAsia="宋体" w:hAnsi="Verdana" w:cs="宋体"/>
          <w:b/>
          <w:bCs/>
          <w:color w:val="2B2B2B"/>
          <w:kern w:val="0"/>
          <w:sz w:val="16"/>
          <w:szCs w:val="16"/>
        </w:rPr>
        <w:t>）设置止损线及预警线</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本信托计划设有预警线和止损线，从信托计划成立之日起至届满</w:t>
      </w:r>
      <w:r w:rsidRPr="00C70FEE">
        <w:rPr>
          <w:rFonts w:ascii="Verdana" w:eastAsia="宋体" w:hAnsi="Verdana" w:cs="宋体"/>
          <w:color w:val="2B2B2B"/>
          <w:kern w:val="0"/>
          <w:sz w:val="16"/>
          <w:szCs w:val="16"/>
        </w:rPr>
        <w:t>12</w:t>
      </w:r>
      <w:r w:rsidRPr="00C70FEE">
        <w:rPr>
          <w:rFonts w:ascii="Verdana" w:eastAsia="宋体" w:hAnsi="Verdana" w:cs="宋体"/>
          <w:color w:val="2B2B2B"/>
          <w:kern w:val="0"/>
          <w:sz w:val="16"/>
          <w:szCs w:val="16"/>
        </w:rPr>
        <w:t>个月之日（不含）的期间，如某一交易日（</w:t>
      </w:r>
      <w:r w:rsidRPr="00C70FEE">
        <w:rPr>
          <w:rFonts w:ascii="Verdana" w:eastAsia="宋体" w:hAnsi="Verdana" w:cs="宋体"/>
          <w:color w:val="2B2B2B"/>
          <w:kern w:val="0"/>
          <w:sz w:val="16"/>
          <w:szCs w:val="16"/>
        </w:rPr>
        <w:t>T</w:t>
      </w:r>
      <w:r w:rsidRPr="00C70FEE">
        <w:rPr>
          <w:rFonts w:ascii="Verdana" w:eastAsia="宋体" w:hAnsi="Verdana" w:cs="宋体"/>
          <w:color w:val="2B2B2B"/>
          <w:kern w:val="0"/>
          <w:sz w:val="16"/>
          <w:szCs w:val="16"/>
        </w:rPr>
        <w:t>日）本信托计划触及预警线，受托人将于触及预警线之日的下一交易日（</w:t>
      </w:r>
      <w:r w:rsidRPr="00C70FEE">
        <w:rPr>
          <w:rFonts w:ascii="Verdana" w:eastAsia="宋体" w:hAnsi="Verdana" w:cs="宋体"/>
          <w:color w:val="2B2B2B"/>
          <w:kern w:val="0"/>
          <w:sz w:val="16"/>
          <w:szCs w:val="16"/>
        </w:rPr>
        <w:t>T+1</w:t>
      </w:r>
      <w:r w:rsidRPr="00C70FEE">
        <w:rPr>
          <w:rFonts w:ascii="Verdana" w:eastAsia="宋体" w:hAnsi="Verdana" w:cs="宋体"/>
          <w:color w:val="2B2B2B"/>
          <w:kern w:val="0"/>
          <w:sz w:val="16"/>
          <w:szCs w:val="16"/>
        </w:rPr>
        <w:t>日），通知</w:t>
      </w:r>
      <w:r w:rsidRPr="00C70FEE">
        <w:rPr>
          <w:rFonts w:ascii="Verdana" w:eastAsia="宋体" w:hAnsi="Verdana" w:cs="宋体"/>
          <w:color w:val="2B2B2B"/>
          <w:kern w:val="0"/>
          <w:sz w:val="16"/>
          <w:szCs w:val="16"/>
        </w:rPr>
        <w:t>B</w:t>
      </w:r>
      <w:r w:rsidRPr="00C70FEE">
        <w:rPr>
          <w:rFonts w:ascii="Verdana" w:eastAsia="宋体" w:hAnsi="Verdana" w:cs="宋体"/>
          <w:color w:val="2B2B2B"/>
          <w:kern w:val="0"/>
          <w:sz w:val="16"/>
          <w:szCs w:val="16"/>
        </w:rPr>
        <w:t>档投资者向本信托计划追加信托资金，追加资金后应使本信托计划信托单位净值达到或超过预警线。</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自本信托计划触及预警线之日的下一个交易日（</w:t>
      </w:r>
      <w:r w:rsidRPr="00C70FEE">
        <w:rPr>
          <w:rFonts w:ascii="Verdana" w:eastAsia="宋体" w:hAnsi="Verdana" w:cs="宋体"/>
          <w:color w:val="2B2B2B"/>
          <w:kern w:val="0"/>
          <w:sz w:val="16"/>
          <w:szCs w:val="16"/>
        </w:rPr>
        <w:t>T+1</w:t>
      </w:r>
      <w:r w:rsidRPr="00C70FEE">
        <w:rPr>
          <w:rFonts w:ascii="Verdana" w:eastAsia="宋体" w:hAnsi="Verdana" w:cs="宋体"/>
          <w:color w:val="2B2B2B"/>
          <w:kern w:val="0"/>
          <w:sz w:val="16"/>
          <w:szCs w:val="16"/>
        </w:rPr>
        <w:t>日）起，受托人仅接受投资顾问出具的卖出及相关的投资建议，不再接受投资顾问出具的买入及相关的投资建议。</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如本信托计划触及止损线，无论</w:t>
      </w:r>
      <w:r w:rsidRPr="00C70FEE">
        <w:rPr>
          <w:rFonts w:ascii="Verdana" w:eastAsia="宋体" w:hAnsi="Verdana" w:cs="宋体"/>
          <w:color w:val="2B2B2B"/>
          <w:kern w:val="0"/>
          <w:sz w:val="16"/>
          <w:szCs w:val="16"/>
        </w:rPr>
        <w:t>B</w:t>
      </w:r>
      <w:r w:rsidRPr="00C70FEE">
        <w:rPr>
          <w:rFonts w:ascii="Verdana" w:eastAsia="宋体" w:hAnsi="Verdana" w:cs="宋体"/>
          <w:color w:val="2B2B2B"/>
          <w:kern w:val="0"/>
          <w:sz w:val="16"/>
          <w:szCs w:val="16"/>
        </w:rPr>
        <w:t>档委托人是否追加了信托资金且无论之后信托单位净值是否恢复到止损线以上，自触及止损线的下一交易日起，投资顾问的管理职责终止，投资顾问不得下达任何投资建议。</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自触及止损线的下一交易日起，受托人有权对本信托计划持有的全部非现金资产进行不可逆变现，直至信托财产全部变现为止。</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受托人有权根据信托财产变现情况，宣布本信托计划提前到期，以保障</w:t>
      </w:r>
      <w:r w:rsidRPr="00C70FEE">
        <w:rPr>
          <w:rFonts w:ascii="Verdana" w:eastAsia="宋体" w:hAnsi="Verdana" w:cs="宋体"/>
          <w:color w:val="2B2B2B"/>
          <w:kern w:val="0"/>
          <w:sz w:val="16"/>
          <w:szCs w:val="16"/>
        </w:rPr>
        <w:t>A</w:t>
      </w:r>
      <w:r w:rsidRPr="00C70FEE">
        <w:rPr>
          <w:rFonts w:ascii="Verdana" w:eastAsia="宋体" w:hAnsi="Verdana" w:cs="宋体"/>
          <w:color w:val="2B2B2B"/>
          <w:kern w:val="0"/>
          <w:sz w:val="16"/>
          <w:szCs w:val="16"/>
        </w:rPr>
        <w:t>档及</w:t>
      </w:r>
      <w:r w:rsidRPr="00C70FEE">
        <w:rPr>
          <w:rFonts w:ascii="Verdana" w:eastAsia="宋体" w:hAnsi="Verdana" w:cs="宋体"/>
          <w:color w:val="2B2B2B"/>
          <w:kern w:val="0"/>
          <w:sz w:val="16"/>
          <w:szCs w:val="16"/>
        </w:rPr>
        <w:t>B</w:t>
      </w:r>
      <w:r w:rsidRPr="00C70FEE">
        <w:rPr>
          <w:rFonts w:ascii="Verdana" w:eastAsia="宋体" w:hAnsi="Verdana" w:cs="宋体"/>
          <w:color w:val="2B2B2B"/>
          <w:kern w:val="0"/>
          <w:sz w:val="16"/>
          <w:szCs w:val="16"/>
        </w:rPr>
        <w:t>档投资者的利益。</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五、风险揭示</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信托计划可能涉及风险，受托人管理、运用或处分信托财产过程中，信托计划可能面临各种风险，包括但不限于法律与政策风险、房地产市场系统风险、股权投资风险、项目建设风险、信用风险、管理风险、流动性风险和其他风险。</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本信托的信托资金运用方向可能会因为市场波动、国家政策变化等原因而导致信托财产蒙受部分甚至全部损失，受托人特别提请委托人和受益人在决定认购信托单位前，应谨慎衡量合同所述之风险因素及承担方式，以及信托文件的所有其他资料，充分了解并承担上述风险。</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信托财产管理过程中发生的风险由信托财产承担风险责任，受托人对管理、运用和处分信托财产的盈亏不作任何承诺。</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六、认购流程</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1</w:t>
      </w:r>
      <w:r w:rsidRPr="00C70FEE">
        <w:rPr>
          <w:rFonts w:ascii="Verdana" w:eastAsia="宋体" w:hAnsi="Verdana" w:cs="宋体"/>
          <w:b/>
          <w:bCs/>
          <w:color w:val="2B2B2B"/>
          <w:kern w:val="0"/>
          <w:sz w:val="16"/>
          <w:szCs w:val="16"/>
        </w:rPr>
        <w:t>、预约登记：</w:t>
      </w:r>
      <w:r w:rsidRPr="00C70FEE">
        <w:rPr>
          <w:rFonts w:ascii="Verdana" w:eastAsia="宋体" w:hAnsi="Verdana" w:cs="宋体"/>
          <w:color w:val="2B2B2B"/>
          <w:kern w:val="0"/>
          <w:sz w:val="16"/>
          <w:szCs w:val="16"/>
        </w:rPr>
        <w:t>委托人可以通过拨打四川信托客服电话</w:t>
      </w:r>
      <w:r w:rsidRPr="00C70FEE">
        <w:rPr>
          <w:rFonts w:ascii="Verdana" w:eastAsia="宋体" w:hAnsi="Verdana" w:cs="宋体"/>
          <w:b/>
          <w:bCs/>
          <w:color w:val="2B2B2B"/>
          <w:kern w:val="0"/>
          <w:sz w:val="16"/>
          <w:szCs w:val="16"/>
        </w:rPr>
        <w:t>0755-88303270</w:t>
      </w:r>
      <w:r w:rsidRPr="00C70FEE">
        <w:rPr>
          <w:rFonts w:ascii="Verdana" w:eastAsia="宋体" w:hAnsi="Verdana" w:cs="宋体"/>
          <w:color w:val="2B2B2B"/>
          <w:kern w:val="0"/>
          <w:sz w:val="16"/>
          <w:szCs w:val="16"/>
        </w:rPr>
        <w:t>等方式联系我司工作人员，进行产品咨询和预约认购登记。</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2</w:t>
      </w:r>
      <w:r w:rsidRPr="00C70FEE">
        <w:rPr>
          <w:rFonts w:ascii="Verdana" w:eastAsia="宋体" w:hAnsi="Verdana" w:cs="宋体"/>
          <w:b/>
          <w:bCs/>
          <w:color w:val="2B2B2B"/>
          <w:kern w:val="0"/>
          <w:sz w:val="16"/>
          <w:szCs w:val="16"/>
        </w:rPr>
        <w:t>、银行缴款：</w:t>
      </w:r>
      <w:r w:rsidRPr="00C70FEE">
        <w:rPr>
          <w:rFonts w:ascii="Verdana" w:eastAsia="宋体" w:hAnsi="Verdana" w:cs="宋体"/>
          <w:color w:val="2B2B2B"/>
          <w:kern w:val="0"/>
          <w:sz w:val="16"/>
          <w:szCs w:val="16"/>
        </w:rPr>
        <w:t>委托人可通过银行转账或者汇款的形式，将资金转入本信托计划的信托募集账户。</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户</w:t>
      </w:r>
      <w:r w:rsidRPr="00C70FEE">
        <w:rPr>
          <w:rFonts w:ascii="Verdana" w:eastAsia="宋体" w:hAnsi="Verdana" w:cs="宋体"/>
          <w:b/>
          <w:bCs/>
          <w:color w:val="2B2B2B"/>
          <w:kern w:val="0"/>
          <w:sz w:val="16"/>
          <w:szCs w:val="16"/>
        </w:rPr>
        <w:t> </w:t>
      </w:r>
      <w:r w:rsidRPr="00C70FEE">
        <w:rPr>
          <w:rFonts w:ascii="Verdana" w:eastAsia="宋体" w:hAnsi="Verdana" w:cs="宋体"/>
          <w:b/>
          <w:bCs/>
          <w:color w:val="2B2B2B"/>
          <w:kern w:val="0"/>
          <w:sz w:val="16"/>
          <w:szCs w:val="16"/>
        </w:rPr>
        <w:t>名：四川信托有限公司</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账</w:t>
      </w:r>
      <w:r w:rsidRPr="00C70FEE">
        <w:rPr>
          <w:rFonts w:ascii="Verdana" w:eastAsia="宋体" w:hAnsi="Verdana" w:cs="宋体"/>
          <w:b/>
          <w:bCs/>
          <w:color w:val="2B2B2B"/>
          <w:kern w:val="0"/>
          <w:sz w:val="16"/>
          <w:szCs w:val="16"/>
        </w:rPr>
        <w:t> </w:t>
      </w:r>
      <w:r w:rsidRPr="00C70FEE">
        <w:rPr>
          <w:rFonts w:ascii="Verdana" w:eastAsia="宋体" w:hAnsi="Verdana" w:cs="宋体"/>
          <w:b/>
          <w:bCs/>
          <w:color w:val="2B2B2B"/>
          <w:kern w:val="0"/>
          <w:sz w:val="16"/>
          <w:szCs w:val="16"/>
        </w:rPr>
        <w:t>号：</w:t>
      </w:r>
      <w:r w:rsidRPr="00C70FEE">
        <w:rPr>
          <w:rFonts w:ascii="Verdana" w:eastAsia="宋体" w:hAnsi="Verdana" w:cs="宋体"/>
          <w:b/>
          <w:bCs/>
          <w:color w:val="2B2B2B"/>
          <w:kern w:val="0"/>
          <w:sz w:val="16"/>
          <w:szCs w:val="16"/>
        </w:rPr>
        <w:t>1001 5040 0000 0820</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开户行：成都银行股份有限公司金河支行</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xml:space="preserve">      </w:t>
      </w:r>
      <w:r w:rsidRPr="00C70FEE">
        <w:rPr>
          <w:rFonts w:ascii="Verdana" w:eastAsia="宋体" w:hAnsi="Verdana" w:cs="宋体"/>
          <w:b/>
          <w:bCs/>
          <w:color w:val="2B2B2B"/>
          <w:kern w:val="0"/>
          <w:sz w:val="16"/>
          <w:szCs w:val="16"/>
        </w:rPr>
        <w:t>注意：汇款时，请在备注或摘要栏注明：汇款人名称（姓名）、汇款金额及认购产品名称。</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      3</w:t>
      </w:r>
      <w:r w:rsidRPr="00C70FEE">
        <w:rPr>
          <w:rFonts w:ascii="Verdana" w:eastAsia="宋体" w:hAnsi="Verdana" w:cs="宋体"/>
          <w:b/>
          <w:bCs/>
          <w:color w:val="2B2B2B"/>
          <w:kern w:val="0"/>
          <w:sz w:val="16"/>
          <w:szCs w:val="16"/>
        </w:rPr>
        <w:t>、签署信托文件：</w:t>
      </w:r>
      <w:r w:rsidRPr="00C70FEE">
        <w:rPr>
          <w:rFonts w:ascii="Verdana" w:eastAsia="宋体" w:hAnsi="Verdana" w:cs="宋体"/>
          <w:color w:val="2B2B2B"/>
          <w:kern w:val="0"/>
          <w:sz w:val="16"/>
          <w:szCs w:val="16"/>
        </w:rPr>
        <w:t>委托人缴款后与四川信托签署信托合同及相关文件，签约时委托人须向受托人提供以下材料：</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1</w:t>
      </w:r>
      <w:r w:rsidRPr="00C70FEE">
        <w:rPr>
          <w:rFonts w:ascii="Verdana" w:eastAsia="宋体" w:hAnsi="Verdana" w:cs="宋体"/>
          <w:color w:val="2B2B2B"/>
          <w:kern w:val="0"/>
          <w:sz w:val="16"/>
          <w:szCs w:val="16"/>
        </w:rPr>
        <w:t>）银行所出具的资金付款凭证。</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2</w:t>
      </w:r>
      <w:r w:rsidRPr="00C70FEE">
        <w:rPr>
          <w:rFonts w:ascii="Verdana" w:eastAsia="宋体" w:hAnsi="Verdana" w:cs="宋体"/>
          <w:color w:val="2B2B2B"/>
          <w:kern w:val="0"/>
          <w:sz w:val="16"/>
          <w:szCs w:val="16"/>
        </w:rPr>
        <w:t>）信托收益划付账户之银行卡（或相关银行存折）。</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3</w:t>
      </w:r>
      <w:r w:rsidRPr="00C70FEE">
        <w:rPr>
          <w:rFonts w:ascii="Verdana" w:eastAsia="宋体" w:hAnsi="Verdana" w:cs="宋体"/>
          <w:color w:val="2B2B2B"/>
          <w:kern w:val="0"/>
          <w:sz w:val="16"/>
          <w:szCs w:val="16"/>
        </w:rPr>
        <w:t>）身份证明文件。委托人为自然人的，需持委托人本人有效身份证件；如委托人授权他人办理，除提供委托人的有效身份证件外，还需提供授权委托书、代理人的有效身份证件。委托人若为法人或其他组织的，需提供加盖公章的工商行政管理部门核发的营业执照复印件或组织机构代码证书复印件、税务登记证复印件。法人或其他组织提交上述文件的，还需经其法定代表人或组织机构负责人签字及其身份证复印件，若授权他人签字须提供授权委托书及代理人身份证复印件。</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br/>
        <w:t xml:space="preserve">      </w:t>
      </w:r>
      <w:r w:rsidRPr="00C70FEE">
        <w:rPr>
          <w:rFonts w:ascii="Verdana" w:eastAsia="宋体" w:hAnsi="Verdana" w:cs="宋体"/>
          <w:b/>
          <w:bCs/>
          <w:color w:val="2B2B2B"/>
          <w:kern w:val="0"/>
          <w:sz w:val="16"/>
          <w:szCs w:val="16"/>
        </w:rPr>
        <w:t>咨询热线：罗经理</w:t>
      </w:r>
      <w:r w:rsidRPr="00C70FEE">
        <w:rPr>
          <w:rFonts w:ascii="Verdana" w:eastAsia="宋体" w:hAnsi="Verdana" w:cs="宋体"/>
          <w:b/>
          <w:bCs/>
          <w:color w:val="2B2B2B"/>
          <w:kern w:val="0"/>
          <w:sz w:val="16"/>
        </w:rPr>
        <w:t> </w:t>
      </w:r>
      <w:r w:rsidRPr="00C70FEE">
        <w:rPr>
          <w:rFonts w:ascii="Verdana" w:eastAsia="宋体" w:hAnsi="Verdana" w:cs="宋体"/>
          <w:b/>
          <w:bCs/>
          <w:color w:val="2B2B2B"/>
          <w:kern w:val="0"/>
          <w:sz w:val="16"/>
          <w:szCs w:val="16"/>
        </w:rPr>
        <w:t xml:space="preserve">13828842362 </w:t>
      </w:r>
      <w:r w:rsidRPr="00C70FEE">
        <w:rPr>
          <w:rFonts w:ascii="Verdana" w:eastAsia="宋体" w:hAnsi="Verdana" w:cs="宋体"/>
          <w:b/>
          <w:bCs/>
          <w:color w:val="2B2B2B"/>
          <w:kern w:val="0"/>
          <w:sz w:val="16"/>
          <w:szCs w:val="16"/>
        </w:rPr>
        <w:t>陈经理</w:t>
      </w:r>
      <w:r w:rsidRPr="00C70FEE">
        <w:rPr>
          <w:rFonts w:ascii="Verdana" w:eastAsia="宋体" w:hAnsi="Verdana" w:cs="宋体"/>
          <w:b/>
          <w:bCs/>
          <w:color w:val="2B2B2B"/>
          <w:kern w:val="0"/>
          <w:sz w:val="16"/>
          <w:szCs w:val="16"/>
        </w:rPr>
        <w:t xml:space="preserve"> 13928850723</w:t>
      </w:r>
      <w:r w:rsidRPr="00C70FEE">
        <w:rPr>
          <w:rFonts w:ascii="Verdana" w:eastAsia="宋体" w:hAnsi="Verdana" w:cs="宋体"/>
          <w:b/>
          <w:bCs/>
          <w:color w:val="2B2B2B"/>
          <w:kern w:val="0"/>
          <w:sz w:val="16"/>
        </w:rPr>
        <w:t> </w:t>
      </w:r>
      <w:r w:rsidRPr="00C70FEE">
        <w:rPr>
          <w:rFonts w:ascii="Verdana" w:eastAsia="宋体" w:hAnsi="Verdana" w:cs="宋体"/>
          <w:b/>
          <w:bCs/>
          <w:color w:val="2B2B2B"/>
          <w:kern w:val="0"/>
          <w:sz w:val="16"/>
          <w:szCs w:val="16"/>
        </w:rPr>
        <w:br/>
        <w:t xml:space="preserve">      </w:t>
      </w:r>
      <w:r w:rsidRPr="00C70FEE">
        <w:rPr>
          <w:rFonts w:ascii="Verdana" w:eastAsia="宋体" w:hAnsi="Verdana" w:cs="宋体"/>
          <w:b/>
          <w:bCs/>
          <w:color w:val="2B2B2B"/>
          <w:kern w:val="0"/>
          <w:sz w:val="16"/>
          <w:szCs w:val="16"/>
        </w:rPr>
        <w:t>直线电话</w:t>
      </w:r>
      <w:r w:rsidRPr="00C70FEE">
        <w:rPr>
          <w:rFonts w:ascii="Verdana" w:eastAsia="宋体" w:hAnsi="Verdana" w:cs="宋体"/>
          <w:b/>
          <w:bCs/>
          <w:color w:val="2B2B2B"/>
          <w:kern w:val="0"/>
          <w:sz w:val="16"/>
          <w:szCs w:val="16"/>
        </w:rPr>
        <w:t>: 0755-88303270</w:t>
      </w:r>
      <w:r w:rsidRPr="00C70FEE">
        <w:rPr>
          <w:rFonts w:ascii="Verdana" w:eastAsia="宋体" w:hAnsi="Verdana" w:cs="宋体"/>
          <w:b/>
          <w:bCs/>
          <w:color w:val="2B2B2B"/>
          <w:kern w:val="0"/>
          <w:sz w:val="16"/>
          <w:szCs w:val="16"/>
        </w:rPr>
        <w:br/>
        <w:t xml:space="preserve">      </w:t>
      </w:r>
      <w:r w:rsidRPr="00C70FEE">
        <w:rPr>
          <w:rFonts w:ascii="Verdana" w:eastAsia="宋体" w:hAnsi="Verdana" w:cs="宋体"/>
          <w:b/>
          <w:bCs/>
          <w:color w:val="2B2B2B"/>
          <w:kern w:val="0"/>
          <w:sz w:val="16"/>
          <w:szCs w:val="16"/>
        </w:rPr>
        <w:t>传真电话：</w:t>
      </w:r>
      <w:r w:rsidRPr="00C70FEE">
        <w:rPr>
          <w:rFonts w:ascii="Verdana" w:eastAsia="宋体" w:hAnsi="Verdana" w:cs="宋体"/>
          <w:b/>
          <w:bCs/>
          <w:color w:val="2B2B2B"/>
          <w:kern w:val="0"/>
          <w:sz w:val="16"/>
          <w:szCs w:val="16"/>
        </w:rPr>
        <w:t>0755-88307400</w:t>
      </w:r>
      <w:r w:rsidRPr="00C70FEE">
        <w:rPr>
          <w:rFonts w:ascii="Verdana" w:eastAsia="宋体" w:hAnsi="Verdana" w:cs="宋体"/>
          <w:b/>
          <w:bCs/>
          <w:color w:val="2B2B2B"/>
          <w:kern w:val="0"/>
          <w:sz w:val="16"/>
        </w:rPr>
        <w:t> </w:t>
      </w:r>
      <w:r w:rsidRPr="00C70FEE">
        <w:rPr>
          <w:rFonts w:ascii="Verdana" w:eastAsia="宋体" w:hAnsi="Verdana" w:cs="宋体"/>
          <w:b/>
          <w:bCs/>
          <w:color w:val="2B2B2B"/>
          <w:kern w:val="0"/>
          <w:sz w:val="16"/>
          <w:szCs w:val="16"/>
        </w:rPr>
        <w:br/>
        <w:t xml:space="preserve">      </w:t>
      </w:r>
      <w:r w:rsidRPr="00C70FEE">
        <w:rPr>
          <w:rFonts w:ascii="Verdana" w:eastAsia="宋体" w:hAnsi="Verdana" w:cs="宋体"/>
          <w:b/>
          <w:bCs/>
          <w:color w:val="2B2B2B"/>
          <w:kern w:val="0"/>
          <w:sz w:val="16"/>
          <w:szCs w:val="16"/>
        </w:rPr>
        <w:t>公司网址：</w:t>
      </w:r>
      <w:hyperlink r:id="rId6" w:history="1">
        <w:r w:rsidRPr="00C70FEE">
          <w:rPr>
            <w:rFonts w:ascii="Verdana" w:eastAsia="宋体" w:hAnsi="Verdana" w:cs="宋体"/>
            <w:b/>
            <w:bCs/>
            <w:color w:val="2B2B2B"/>
            <w:kern w:val="0"/>
            <w:sz w:val="16"/>
          </w:rPr>
          <w:t>www.schtrust.com</w:t>
        </w:r>
      </w:hyperlink>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七、信托公司简介</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四川信托有限公司（英文名称：</w:t>
      </w:r>
      <w:r w:rsidRPr="00C70FEE">
        <w:rPr>
          <w:rFonts w:ascii="Verdana" w:eastAsia="宋体" w:hAnsi="Verdana" w:cs="宋体"/>
          <w:color w:val="2B2B2B"/>
          <w:kern w:val="0"/>
          <w:sz w:val="16"/>
          <w:szCs w:val="16"/>
        </w:rPr>
        <w:t>Sichuan Trust Co., Ltd.</w:t>
      </w:r>
      <w:r w:rsidRPr="00C70FEE">
        <w:rPr>
          <w:rFonts w:ascii="Verdana" w:eastAsia="宋体" w:hAnsi="Verdana" w:cs="宋体"/>
          <w:color w:val="2B2B2B"/>
          <w:kern w:val="0"/>
          <w:sz w:val="16"/>
          <w:szCs w:val="16"/>
        </w:rPr>
        <w:t>）是在四川省信托投资公司、四川省建设信托投资公司历经十一年整顿重组，最终吸收和兴证券股权、华西证券股权和川信红照壁大厦三项资产进行合并的基础上，引入战略投资者而设立的信托公司。公司经中国银监会批准，经四川省工商行政管理局登记注册，注册资本为</w:t>
      </w:r>
      <w:r w:rsidRPr="00C70FEE">
        <w:rPr>
          <w:rFonts w:ascii="Verdana" w:eastAsia="宋体" w:hAnsi="Verdana" w:cs="宋体"/>
          <w:color w:val="2B2B2B"/>
          <w:kern w:val="0"/>
          <w:sz w:val="16"/>
          <w:szCs w:val="16"/>
        </w:rPr>
        <w:t>20</w:t>
      </w:r>
      <w:r w:rsidRPr="00C70FEE">
        <w:rPr>
          <w:rFonts w:ascii="Verdana" w:eastAsia="宋体" w:hAnsi="Verdana" w:cs="宋体"/>
          <w:color w:val="2B2B2B"/>
          <w:kern w:val="0"/>
          <w:sz w:val="16"/>
          <w:szCs w:val="16"/>
        </w:rPr>
        <w:t>亿元人民币，注册地址为四川省成都市锦江区人民南路</w:t>
      </w:r>
      <w:r w:rsidRPr="00C70FEE">
        <w:rPr>
          <w:rFonts w:ascii="Verdana" w:eastAsia="宋体" w:hAnsi="Verdana" w:cs="宋体"/>
          <w:color w:val="2B2B2B"/>
          <w:kern w:val="0"/>
          <w:sz w:val="16"/>
          <w:szCs w:val="16"/>
        </w:rPr>
        <w:t>2</w:t>
      </w:r>
      <w:r w:rsidRPr="00C70FEE">
        <w:rPr>
          <w:rFonts w:ascii="Verdana" w:eastAsia="宋体" w:hAnsi="Verdana" w:cs="宋体"/>
          <w:color w:val="2B2B2B"/>
          <w:kern w:val="0"/>
          <w:sz w:val="16"/>
          <w:szCs w:val="16"/>
        </w:rPr>
        <w:t>段</w:t>
      </w:r>
      <w:r w:rsidRPr="00C70FEE">
        <w:rPr>
          <w:rFonts w:ascii="Verdana" w:eastAsia="宋体" w:hAnsi="Verdana" w:cs="宋体"/>
          <w:color w:val="2B2B2B"/>
          <w:kern w:val="0"/>
          <w:sz w:val="16"/>
          <w:szCs w:val="16"/>
        </w:rPr>
        <w:t>18</w:t>
      </w:r>
      <w:r w:rsidRPr="00C70FEE">
        <w:rPr>
          <w:rFonts w:ascii="Verdana" w:eastAsia="宋体" w:hAnsi="Verdana" w:cs="宋体"/>
          <w:color w:val="2B2B2B"/>
          <w:kern w:val="0"/>
          <w:sz w:val="16"/>
          <w:szCs w:val="16"/>
        </w:rPr>
        <w:t>号川信红照壁大厦。</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xml:space="preserve">      </w:t>
      </w:r>
      <w:r w:rsidRPr="00C70FEE">
        <w:rPr>
          <w:rFonts w:ascii="Verdana" w:eastAsia="宋体" w:hAnsi="Verdana" w:cs="宋体"/>
          <w:color w:val="2B2B2B"/>
          <w:kern w:val="0"/>
          <w:sz w:val="16"/>
          <w:szCs w:val="16"/>
        </w:rPr>
        <w:t>四川信托共有</w:t>
      </w:r>
      <w:r w:rsidRPr="00C70FEE">
        <w:rPr>
          <w:rFonts w:ascii="Verdana" w:eastAsia="宋体" w:hAnsi="Verdana" w:cs="宋体"/>
          <w:color w:val="2B2B2B"/>
          <w:kern w:val="0"/>
          <w:sz w:val="16"/>
          <w:szCs w:val="16"/>
        </w:rPr>
        <w:t>10</w:t>
      </w:r>
      <w:r w:rsidRPr="00C70FEE">
        <w:rPr>
          <w:rFonts w:ascii="Verdana" w:eastAsia="宋体" w:hAnsi="Verdana" w:cs="宋体"/>
          <w:color w:val="2B2B2B"/>
          <w:kern w:val="0"/>
          <w:sz w:val="16"/>
          <w:szCs w:val="16"/>
        </w:rPr>
        <w:t>个股东，均为国内、省内的大型企业，实力雄厚，知名度高。其中控股股东四川宏达（集团）有限公司系我国大型民营企业，拥有近</w:t>
      </w:r>
      <w:r w:rsidRPr="00C70FEE">
        <w:rPr>
          <w:rFonts w:ascii="Verdana" w:eastAsia="宋体" w:hAnsi="Verdana" w:cs="宋体"/>
          <w:color w:val="2B2B2B"/>
          <w:kern w:val="0"/>
          <w:sz w:val="16"/>
          <w:szCs w:val="16"/>
        </w:rPr>
        <w:t>300</w:t>
      </w:r>
      <w:r w:rsidRPr="00C70FEE">
        <w:rPr>
          <w:rFonts w:ascii="Verdana" w:eastAsia="宋体" w:hAnsi="Verdana" w:cs="宋体"/>
          <w:color w:val="2B2B2B"/>
          <w:kern w:val="0"/>
          <w:sz w:val="16"/>
          <w:szCs w:val="16"/>
        </w:rPr>
        <w:t>亿元总资产，位列中国民营企业</w:t>
      </w:r>
      <w:r w:rsidRPr="00C70FEE">
        <w:rPr>
          <w:rFonts w:ascii="Verdana" w:eastAsia="宋体" w:hAnsi="Verdana" w:cs="宋体"/>
          <w:color w:val="2B2B2B"/>
          <w:kern w:val="0"/>
          <w:sz w:val="16"/>
          <w:szCs w:val="16"/>
        </w:rPr>
        <w:t>500</w:t>
      </w:r>
      <w:r w:rsidRPr="00C70FEE">
        <w:rPr>
          <w:rFonts w:ascii="Verdana" w:eastAsia="宋体" w:hAnsi="Verdana" w:cs="宋体"/>
          <w:color w:val="2B2B2B"/>
          <w:kern w:val="0"/>
          <w:sz w:val="16"/>
          <w:szCs w:val="16"/>
        </w:rPr>
        <w:t>强第</w:t>
      </w:r>
      <w:r w:rsidRPr="00C70FEE">
        <w:rPr>
          <w:rFonts w:ascii="Verdana" w:eastAsia="宋体" w:hAnsi="Verdana" w:cs="宋体"/>
          <w:color w:val="2B2B2B"/>
          <w:kern w:val="0"/>
          <w:sz w:val="16"/>
          <w:szCs w:val="16"/>
        </w:rPr>
        <w:t>23</w:t>
      </w:r>
      <w:r w:rsidRPr="00C70FEE">
        <w:rPr>
          <w:rFonts w:ascii="Verdana" w:eastAsia="宋体" w:hAnsi="Verdana" w:cs="宋体"/>
          <w:color w:val="2B2B2B"/>
          <w:kern w:val="0"/>
          <w:sz w:val="16"/>
          <w:szCs w:val="16"/>
        </w:rPr>
        <w:t>位。第二大股东中海信托股份有限公司是央企中国海洋石油总公司的下属企业，荣膺</w:t>
      </w:r>
      <w:r w:rsidRPr="00C70FEE">
        <w:rPr>
          <w:rFonts w:ascii="Verdana" w:eastAsia="宋体" w:hAnsi="Verdana" w:cs="宋体"/>
          <w:color w:val="2B2B2B"/>
          <w:kern w:val="0"/>
          <w:sz w:val="16"/>
          <w:szCs w:val="16"/>
        </w:rPr>
        <w:t>“2009</w:t>
      </w:r>
      <w:r w:rsidRPr="00C70FEE">
        <w:rPr>
          <w:rFonts w:ascii="Verdana" w:eastAsia="宋体" w:hAnsi="Verdana" w:cs="宋体"/>
          <w:color w:val="2B2B2B"/>
          <w:kern w:val="0"/>
          <w:sz w:val="16"/>
          <w:szCs w:val="16"/>
        </w:rPr>
        <w:t>年卓越公司奖</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并连续两次获得</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中国优秀信托公司</w:t>
      </w:r>
      <w:r w:rsidRPr="00C70FEE">
        <w:rPr>
          <w:rFonts w:ascii="Verdana" w:eastAsia="宋体" w:hAnsi="Verdana" w:cs="宋体"/>
          <w:color w:val="2B2B2B"/>
          <w:kern w:val="0"/>
          <w:sz w:val="16"/>
          <w:szCs w:val="16"/>
        </w:rPr>
        <w:t>”</w:t>
      </w:r>
      <w:r w:rsidRPr="00C70FEE">
        <w:rPr>
          <w:rFonts w:ascii="Verdana" w:eastAsia="宋体" w:hAnsi="Verdana" w:cs="宋体"/>
          <w:color w:val="2B2B2B"/>
          <w:kern w:val="0"/>
          <w:sz w:val="16"/>
          <w:szCs w:val="16"/>
        </w:rPr>
        <w:t>奖项，目前管理信托资产超</w:t>
      </w:r>
      <w:r w:rsidRPr="00C70FEE">
        <w:rPr>
          <w:rFonts w:ascii="Verdana" w:eastAsia="宋体" w:hAnsi="Verdana" w:cs="宋体"/>
          <w:color w:val="2B2B2B"/>
          <w:kern w:val="0"/>
          <w:sz w:val="16"/>
          <w:szCs w:val="16"/>
        </w:rPr>
        <w:t>2000</w:t>
      </w:r>
      <w:r w:rsidRPr="00C70FEE">
        <w:rPr>
          <w:rFonts w:ascii="Verdana" w:eastAsia="宋体" w:hAnsi="Verdana" w:cs="宋体"/>
          <w:color w:val="2B2B2B"/>
          <w:kern w:val="0"/>
          <w:sz w:val="16"/>
          <w:szCs w:val="16"/>
        </w:rPr>
        <w:t>亿元。</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lef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受托人特别提示：</w:t>
      </w:r>
      <w:r w:rsidRPr="00C70FEE">
        <w:rPr>
          <w:rFonts w:ascii="Verdana" w:eastAsia="宋体" w:hAnsi="Verdana" w:cs="宋体"/>
          <w:b/>
          <w:bCs/>
          <w:color w:val="2B2B2B"/>
          <w:kern w:val="0"/>
          <w:sz w:val="16"/>
          <w:szCs w:val="16"/>
        </w:rPr>
        <w:br/>
        <w:t xml:space="preserve">      </w:t>
      </w:r>
      <w:r w:rsidRPr="00C70FEE">
        <w:rPr>
          <w:rFonts w:ascii="Verdana" w:eastAsia="宋体" w:hAnsi="Verdana" w:cs="宋体"/>
          <w:b/>
          <w:bCs/>
          <w:color w:val="2B2B2B"/>
          <w:kern w:val="0"/>
          <w:sz w:val="16"/>
          <w:szCs w:val="16"/>
        </w:rPr>
        <w:t>本文及相关附件提及的仅为信托产品发行前的预推介资料，非正式信托文件，具体内容若与实际发行时的信托文件不一致，则以实际发行时的信托文件为准。</w:t>
      </w:r>
    </w:p>
    <w:p w:rsidR="00C70FEE" w:rsidRPr="00C70FEE" w:rsidRDefault="00C70FEE" w:rsidP="00C70FEE">
      <w:pPr>
        <w:widowControl/>
        <w:shd w:val="clear" w:color="auto" w:fill="FFFFFF"/>
        <w:spacing w:line="326" w:lineRule="atLeast"/>
        <w:jc w:val="right"/>
        <w:rPr>
          <w:rFonts w:ascii="Verdana" w:eastAsia="宋体" w:hAnsi="Verdana" w:cs="宋体"/>
          <w:color w:val="2B2B2B"/>
          <w:kern w:val="0"/>
          <w:sz w:val="16"/>
          <w:szCs w:val="16"/>
        </w:rPr>
      </w:pPr>
      <w:r w:rsidRPr="00C70FEE">
        <w:rPr>
          <w:rFonts w:ascii="Verdana" w:eastAsia="宋体" w:hAnsi="Verdana" w:cs="宋体"/>
          <w:color w:val="2B2B2B"/>
          <w:kern w:val="0"/>
          <w:sz w:val="16"/>
          <w:szCs w:val="16"/>
        </w:rPr>
        <w:t> </w:t>
      </w:r>
    </w:p>
    <w:p w:rsidR="00C70FEE" w:rsidRPr="00C70FEE" w:rsidRDefault="00C70FEE" w:rsidP="00C70FEE">
      <w:pPr>
        <w:widowControl/>
        <w:shd w:val="clear" w:color="auto" w:fill="FFFFFF"/>
        <w:spacing w:line="326" w:lineRule="atLeast"/>
        <w:jc w:val="righ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四川信托有限公司</w:t>
      </w:r>
    </w:p>
    <w:p w:rsidR="00C70FEE" w:rsidRPr="00C70FEE" w:rsidRDefault="00C70FEE" w:rsidP="00C70FEE">
      <w:pPr>
        <w:widowControl/>
        <w:shd w:val="clear" w:color="auto" w:fill="FFFFFF"/>
        <w:spacing w:line="326" w:lineRule="atLeast"/>
        <w:jc w:val="right"/>
        <w:rPr>
          <w:rFonts w:ascii="Verdana" w:eastAsia="宋体" w:hAnsi="Verdana" w:cs="宋体"/>
          <w:color w:val="2B2B2B"/>
          <w:kern w:val="0"/>
          <w:sz w:val="16"/>
          <w:szCs w:val="16"/>
        </w:rPr>
      </w:pPr>
      <w:r w:rsidRPr="00C70FEE">
        <w:rPr>
          <w:rFonts w:ascii="Verdana" w:eastAsia="宋体" w:hAnsi="Verdana" w:cs="宋体"/>
          <w:b/>
          <w:bCs/>
          <w:color w:val="2B2B2B"/>
          <w:kern w:val="0"/>
          <w:sz w:val="16"/>
          <w:szCs w:val="16"/>
        </w:rPr>
        <w:t>二〇一四年九月一日</w:t>
      </w:r>
    </w:p>
    <w:p w:rsidR="00F234B1" w:rsidRDefault="00F234B1"/>
    <w:sectPr w:rsidR="00F234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34B1" w:rsidRDefault="00F234B1" w:rsidP="00C70FEE">
      <w:r>
        <w:separator/>
      </w:r>
    </w:p>
  </w:endnote>
  <w:endnote w:type="continuationSeparator" w:id="1">
    <w:p w:rsidR="00F234B1" w:rsidRDefault="00F234B1" w:rsidP="00C70F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34B1" w:rsidRDefault="00F234B1" w:rsidP="00C70FEE">
      <w:r>
        <w:separator/>
      </w:r>
    </w:p>
  </w:footnote>
  <w:footnote w:type="continuationSeparator" w:id="1">
    <w:p w:rsidR="00F234B1" w:rsidRDefault="00F234B1" w:rsidP="00C70F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0FEE"/>
    <w:rsid w:val="00C70FEE"/>
    <w:rsid w:val="00F234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0F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70FEE"/>
    <w:rPr>
      <w:sz w:val="18"/>
      <w:szCs w:val="18"/>
    </w:rPr>
  </w:style>
  <w:style w:type="paragraph" w:styleId="a4">
    <w:name w:val="footer"/>
    <w:basedOn w:val="a"/>
    <w:link w:val="Char0"/>
    <w:uiPriority w:val="99"/>
    <w:semiHidden/>
    <w:unhideWhenUsed/>
    <w:rsid w:val="00C70F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70FEE"/>
    <w:rPr>
      <w:sz w:val="18"/>
      <w:szCs w:val="18"/>
    </w:rPr>
  </w:style>
  <w:style w:type="paragraph" w:customStyle="1" w:styleId="titles">
    <w:name w:val="titles"/>
    <w:basedOn w:val="a"/>
    <w:rsid w:val="00C70FEE"/>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C70FE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C70FEE"/>
  </w:style>
  <w:style w:type="paragraph" w:styleId="a5">
    <w:name w:val="Normal (Web)"/>
    <w:basedOn w:val="a"/>
    <w:uiPriority w:val="99"/>
    <w:semiHidden/>
    <w:unhideWhenUsed/>
    <w:rsid w:val="00C70FEE"/>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C70FEE"/>
    <w:rPr>
      <w:color w:val="0000FF"/>
      <w:u w:val="single"/>
    </w:rPr>
  </w:style>
</w:styles>
</file>

<file path=word/webSettings.xml><?xml version="1.0" encoding="utf-8"?>
<w:webSettings xmlns:r="http://schemas.openxmlformats.org/officeDocument/2006/relationships" xmlns:w="http://schemas.openxmlformats.org/wordprocessingml/2006/main">
  <w:divs>
    <w:div w:id="1358776902">
      <w:bodyDiv w:val="1"/>
      <w:marLeft w:val="0"/>
      <w:marRight w:val="0"/>
      <w:marTop w:val="0"/>
      <w:marBottom w:val="0"/>
      <w:divBdr>
        <w:top w:val="none" w:sz="0" w:space="0" w:color="auto"/>
        <w:left w:val="none" w:sz="0" w:space="0" w:color="auto"/>
        <w:bottom w:val="none" w:sz="0" w:space="0" w:color="auto"/>
        <w:right w:val="none" w:sz="0" w:space="0" w:color="auto"/>
      </w:divBdr>
      <w:divsChild>
        <w:div w:id="1779106055">
          <w:marLeft w:val="0"/>
          <w:marRight w:val="0"/>
          <w:marTop w:val="0"/>
          <w:marBottom w:val="0"/>
          <w:divBdr>
            <w:top w:val="none" w:sz="0" w:space="0" w:color="auto"/>
            <w:left w:val="none" w:sz="0" w:space="0" w:color="auto"/>
            <w:bottom w:val="none" w:sz="0" w:space="0" w:color="auto"/>
            <w:right w:val="none" w:sz="0" w:space="0" w:color="auto"/>
          </w:divBdr>
        </w:div>
        <w:div w:id="1956403172">
          <w:marLeft w:val="0"/>
          <w:marRight w:val="0"/>
          <w:marTop w:val="0"/>
          <w:marBottom w:val="0"/>
          <w:divBdr>
            <w:top w:val="none" w:sz="0" w:space="0" w:color="auto"/>
            <w:left w:val="none" w:sz="0" w:space="0" w:color="auto"/>
            <w:bottom w:val="none" w:sz="0" w:space="0" w:color="auto"/>
            <w:right w:val="none" w:sz="0" w:space="0" w:color="auto"/>
          </w:divBdr>
        </w:div>
        <w:div w:id="161482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chtrust.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2673</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2014-09-24T07:08:00Z</dcterms:created>
  <dcterms:modified xsi:type="dcterms:W3CDTF">2014-09-24T07:08:00Z</dcterms:modified>
</cp:coreProperties>
</file>