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800" w:type="pct"/>
        <w:jc w:val="center"/>
        <w:tblCellSpacing w:w="7" w:type="dxa"/>
        <w:shd w:val="clear" w:color="auto" w:fill="FFFFFF"/>
        <w:tblCellMar>
          <w:top w:w="45" w:type="dxa"/>
          <w:left w:w="45" w:type="dxa"/>
          <w:bottom w:w="45" w:type="dxa"/>
          <w:right w:w="45" w:type="dxa"/>
        </w:tblCellMar>
        <w:tblLook w:val="04A0"/>
      </w:tblPr>
      <w:tblGrid>
        <w:gridCol w:w="8087"/>
      </w:tblGrid>
      <w:tr w:rsidR="004C3E15" w:rsidRPr="004C3E15" w:rsidTr="004C3E15">
        <w:trPr>
          <w:trHeight w:val="679"/>
          <w:tblCellSpacing w:w="7" w:type="dxa"/>
          <w:jc w:val="center"/>
        </w:trPr>
        <w:tc>
          <w:tcPr>
            <w:tcW w:w="0" w:type="auto"/>
            <w:shd w:val="clear" w:color="auto" w:fill="FFFFFF"/>
            <w:vAlign w:val="center"/>
            <w:hideMark/>
          </w:tcPr>
          <w:p w:rsidR="004C3E15" w:rsidRPr="004C3E15" w:rsidRDefault="004C3E15" w:rsidP="004C3E15">
            <w:pPr>
              <w:widowControl/>
              <w:spacing w:line="340" w:lineRule="atLeast"/>
              <w:jc w:val="center"/>
              <w:rPr>
                <w:rFonts w:ascii="宋体" w:eastAsia="宋体" w:hAnsi="宋体" w:cs="宋体" w:hint="eastAsia"/>
                <w:b/>
                <w:bCs/>
                <w:color w:val="676767"/>
                <w:kern w:val="0"/>
                <w:sz w:val="25"/>
                <w:szCs w:val="25"/>
              </w:rPr>
            </w:pPr>
            <w:r w:rsidRPr="004C3E15">
              <w:rPr>
                <w:rFonts w:ascii="宋体" w:eastAsia="宋体" w:hAnsi="宋体" w:cs="宋体" w:hint="eastAsia"/>
                <w:b/>
                <w:bCs/>
                <w:color w:val="676767"/>
                <w:kern w:val="0"/>
                <w:sz w:val="25"/>
                <w:szCs w:val="25"/>
              </w:rPr>
              <w:t>“外贸信托•九智1号定向增发集合资金信托计划”受益人大会审议及表决事项</w:t>
            </w:r>
          </w:p>
          <w:p w:rsidR="004C3E15" w:rsidRPr="004C3E15" w:rsidRDefault="004C3E15" w:rsidP="004C3E15">
            <w:pPr>
              <w:widowControl/>
              <w:spacing w:line="340" w:lineRule="atLeast"/>
              <w:jc w:val="center"/>
              <w:rPr>
                <w:rFonts w:ascii="宋体" w:eastAsia="宋体" w:hAnsi="宋体" w:cs="宋体"/>
                <w:b/>
                <w:bCs/>
                <w:color w:val="676767"/>
                <w:kern w:val="0"/>
                <w:sz w:val="25"/>
                <w:szCs w:val="25"/>
              </w:rPr>
            </w:pPr>
            <w:r w:rsidRPr="004C3E15">
              <w:rPr>
                <w:rFonts w:ascii="宋体" w:eastAsia="宋体" w:hAnsi="宋体" w:cs="宋体" w:hint="eastAsia"/>
                <w:b/>
                <w:bCs/>
                <w:color w:val="676767"/>
                <w:kern w:val="0"/>
                <w:sz w:val="25"/>
                <w:szCs w:val="25"/>
              </w:rPr>
              <w:pict>
                <v:rect id="_x0000_i1025" style="width:0;height:.75pt" o:hrstd="t" o:hrnoshade="t" o:hr="t" fillcolor="#696969" stroked="f"/>
              </w:pict>
            </w:r>
          </w:p>
        </w:tc>
      </w:tr>
      <w:tr w:rsidR="004C3E15" w:rsidRPr="004C3E15" w:rsidTr="004C3E15">
        <w:trPr>
          <w:trHeight w:val="408"/>
          <w:tblCellSpacing w:w="7" w:type="dxa"/>
          <w:jc w:val="center"/>
        </w:trPr>
        <w:tc>
          <w:tcPr>
            <w:tcW w:w="0" w:type="auto"/>
            <w:shd w:val="clear" w:color="auto" w:fill="FFFFFF"/>
            <w:vAlign w:val="center"/>
            <w:hideMark/>
          </w:tcPr>
          <w:p w:rsidR="004C3E15" w:rsidRPr="004C3E15" w:rsidRDefault="004C3E15" w:rsidP="004C3E15">
            <w:pPr>
              <w:widowControl/>
              <w:spacing w:line="340" w:lineRule="atLeast"/>
              <w:jc w:val="center"/>
              <w:rPr>
                <w:rFonts w:ascii="宋体" w:eastAsia="宋体" w:hAnsi="宋体" w:cs="宋体"/>
                <w:color w:val="676767"/>
                <w:kern w:val="0"/>
                <w:sz w:val="16"/>
                <w:szCs w:val="16"/>
              </w:rPr>
            </w:pPr>
            <w:r w:rsidRPr="004C3E15">
              <w:rPr>
                <w:rFonts w:ascii="宋体" w:eastAsia="宋体" w:hAnsi="宋体" w:cs="宋体" w:hint="eastAsia"/>
                <w:color w:val="676767"/>
                <w:kern w:val="0"/>
                <w:sz w:val="16"/>
                <w:szCs w:val="16"/>
              </w:rPr>
              <w:t xml:space="preserve">　　2014-09-28</w:t>
            </w:r>
          </w:p>
        </w:tc>
      </w:tr>
      <w:tr w:rsidR="004C3E15" w:rsidRPr="004C3E15" w:rsidTr="004C3E15">
        <w:trPr>
          <w:tblCellSpacing w:w="7" w:type="dxa"/>
          <w:jc w:val="center"/>
        </w:trPr>
        <w:tc>
          <w:tcPr>
            <w:tcW w:w="0" w:type="auto"/>
            <w:shd w:val="clear" w:color="auto" w:fill="FFFFFF"/>
            <w:vAlign w:val="center"/>
            <w:hideMark/>
          </w:tcPr>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由中国对外经济贸易信托有限公司（以下简称“受托人”）发起设立的“外贸信托•九智1号定向增发集合资金信托计划”(以下简称“本信托计划”或“信托计划”)已于2013年12月2日成立并生效，信托规模11270万元。</w:t>
            </w:r>
            <w:bookmarkStart w:id="0" w:name="_GoBack"/>
            <w:bookmarkEnd w:id="0"/>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根据投资顾问浙大九智（杭州）投资管理有限公司(以下简称“浙大九智”)的投资建议，截止2014年9月25日，信托资金投资于定向增发股票的标的产品1个：认购“工银瑞信投资-黔轮胎专项资产管理计划”（以下简称“资管计划”）进取级1000万元（资管计划总规模为35000万元，间接投资于黔轮胎A（股票代码：000589）非公开发行股票7656万股，认购价格4.48元/股）；投资于现金管理类产品1个：认购“外贸信托•五行荟智集合资金信托计划”9950万元。</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基于本信托计划的投资运作情况，浙大九智于2014年9月25日向我司出具了《申请函》，申请增设临时分配日，延长信托计划期限，增加信托计划投资范围。鉴于此，为充分保护受益人的权益，根据《中华人民共和国信托法》、《信托公司管理办法》、《信托公司集合资金信托计划管理办法》的规定和《外贸信托•九智1号定向增发集合资金信托计划信托合同》、《认购风险申明书》、《外贸信托•九智1号定向增发集合资金信托计划说明书》(以下简称“信托文件”)的约定，受托人决定以通讯方式召开受益人大会,表决上述审议事项。</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一、受益人大会审议事项</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本次受益人大会需表决的审议事项包括以下三个：</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u w:val="single"/>
              </w:rPr>
              <w:t>审议事项一：增设临时分配日</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信托计划拟增设临时分配日，即信托计划生效满11个月之日（2014年11月2日），若信托专户现金资产仍有剩余且超过100万元，则信托计划生效满11个月之日增设为临时分配日，受托人将在临时分配日后的10个工作日内，以信托专户中扣除相关信托费用后的剩余现金为限，进行信托利益的分配。</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u w:val="single"/>
              </w:rPr>
              <w:t>审议事项二：延长信托计划期限及投资期</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信托计划拟延长信托期限，即信托期限由24个月延长为30个月。本信托计划原则上对于标的产品的投资应在信托计划成立后6个月内进行，变更为本信托计划原则上对于标的产品的投资应在信托计划成立后12个月内进行。</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u w:val="single"/>
              </w:rPr>
              <w:t>审议事项三：增加信托计划投资范围</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原信托计划的投资范围如下：</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1）投资于定向增发股票的标的产品（包括但不限于基金公司的特定客户资产管理计划、证券公司资产管理计划、有限合伙份额、信托公司信托产品等），如标的产品具有分层设计，本信托计划倾向于投资非优先级。</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（2）闲置资金可投资于现金管理类产品（包括但不限于银行短期理财产品、银行存款等）。</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拟变更信托计划的投资范围如下:</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1）直接或间接投资于定向增发股票的标的产品：包括但不限于基金公司的特定客户资产管理计划、证券公司资产管理计划、有限合伙份额、信托公司信托产品等。如标的产品具有分层设计，本信托计划倾向于投资非优先级，信托计划间接投资的定向增发股票需具有一定保障措施，且本信托计划不承担任何追加保证金的责任和义务。</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2）直接或间接投资于因参与定向增发而持有的解禁后且未变现的二级市场股票的标的产品：包括但不限于基金公司的特定客户资产管理计划、证券公司资产管理计划、有限合伙份额、信托公司信托产品等。上述二级市场股票仅是指因标的产品投资的定向增发股票限售期届满而持有的可在二级市场上流通的股票。如标的产品具有分层设计，本信托计划倾向于投资非优先级，信托计划间接投资的二级市场股票需具有一定保障措施，且本信托计划不承担任何追加保证金的责任和义务。</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（3）现金管理类产品：包括但不限于银行短期理财产品、银行存款等。</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二、受益人大会审议事项的表决通过标准</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根据信托文件的约定，受益人大会应当有代表50％以上信托单位的受益人参加，方可召开；大会就审议事项做出决定，应当经参加受益人大会的受益人所持表决权的三分之二以上通过；但更换受托人、改变信托财产运用方式、提前终止信托合同，应当经参加大会的受益人全体通过。</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次受益人大会的表决事项包括审议事项一、审议事项二及审议事项三。根据上述约定，本次信托计划审议事项一、审议事项二需经参加大会的受益人所持表决权的三分之二以上通过，方可通过；审议事项三必须在审议事项二表决通过的前提下，经参加大会的受益人全体通过，方可通过。上述审议事项自通过之日起生效。</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三、信托计划的主要风险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（一）市场风险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市场风险是证券投资的系统性风险，主要包括以下几方面：</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1.政策风险：货币政策、财政政策、产业政策和证券市场监管政策等国家政策以及法律法规的变化将对证券市场产生一定的影响，可能导致证券市场价格波动，从而影响信托计划收益。</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2.经济周期风险：证券市场受经济运行具有周期性的影响，从而影响证券投资的收益水平，对信托计划收益产生影响。</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3.利率风险：利率波动会导致证券市场价格和收益率的变动。本信托计划直接或间接投资于证券市场，其收益水平会受到利率变化的影响。</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4.购买力风险：如果发生通货膨胀，则投资于证券所获得的收益可能会被通货膨胀抵消，从而影响信托计划收益水平。</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5.上市公司的经营风险：上市公司的经营状况受多种因素影响，如法人治理结构、管理能力、市场前景、行业竞争、技术变迁等，这些都会导致企业的盈利发生变化。如果上市公司经营不善，其净值可能下跌，从而使信托计划收益下降。</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6.股票价格的风险：本信托计划主要间接投资于股票市场，存在实际认购时虽经过投资顾问认可，但实际股票认购/大宗交易价格可能高于届时二级市场价格，从而对未来收益产生影响的风险。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（二）投资顾问管理风险、信用风险、道德风险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信托计划聘请浙大九智（杭州）投资管理有限公司为投资顾问，其投资管理能力、服务水平将直接影响本信托计划的收益水平。在本信托计划投资运作过程中，存在因投资顾问对经济形势和证券市场等判断有误等因素影响本信托计划的收益水平的风险。此外，存在本信托计划的投资顾问其未按相关政策法规以及相关法律文件的约定履行应尽义务等信用风险及道德风险而给本信托计划带来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（三）标的产品管理人管理风险、信用风险、道德风险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信托计划设立后，信托资金将按照投资顾问投资建议通过投资标的产品，并由相关标的产品管理人（包括但不限于合伙企业普通合伙人等）进行管理与运作。管理人的服务水平将直接影响标的产品的运作情况，进而影响本信托计划的收益水平。此外，存在标的产品管理人未按相关政策法规以及相关法律文件的约定履行应尽义务等信用风险及道德风险而给本信托计划带来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（四）流动性风险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由于本信托计划财产间接投资的标的主要为股票，存在由于市场或投资标的流动性不足（包括但不限于股票存在锁定期、相关风险保障合同的变现限制性约定、所投资证券停牌、交易所监管）和其他不可抗因素而导致本信托计划所投资的证券无法及时变现，进而导致本信托计划现金资产不能满足信托计划费用支付、赎回、利益分配、清算要求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（五）操作、技术风险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信托计划相关参与人包括信托计划受托人、保管人、投资顾问、信托计划所投资的标的产品的管理人等，前述参与人在业务各环节操作过程中，均存在因内部控制存在缺陷或者人为因素等造成操作失误或违反操作规程等引致的风险，例如，越权违规交易、会计部门欺诈、交易错误、IT系统故障等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在证券的各种交易行为或者运作中，可能因为风控、交易等技术系统的故障或者差错而影响交易的正常进行，导致投资者的利益受到影响。这种技术风险可能来自受托人、信托计划所投资的标的产品的管理人、证券公司、保管人、证券交易所、证券登记结算机构等。</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（六）受益人本金部分或全部损失的风险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信托计划为非保本浮动收益型产品，因为投资股票高风险的特点，受益人存在本金损失的风险。本信托计划的收益取决于间接持有的股票在二级市场变现时的市价，尽管投资顾问、普通合伙人拥有专业的管理团队进行投资管理，但仍存在市场风险、流动性风险、价格风险等原因导致受益人面临信托资金本金部分或全部亏损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信托计划可能通过大宗交易等方式投资于二级市场股票，根据大宗交易的交易规则，受让价格将可能高于标的股票的市场价格，从而存在可能导致信托资金本金部分或全部亏损的风险。本信托计划信托资金可能间接代第三方履行差额补足义务并支付差额补足价款，存在相关第三方未支付代偿对价，未履行性相关合同约定从而导致信托资金遭受损失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尽管信托计划间接投资的定向增发股票/二级市场股票具有一定保障措施，但仍存在相关保障协议违约、相关协议被有权机关认定为无效、收益补偿未能补足，从而导致不能履行或未履行，则受益人面临信托资金本金亏损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本信托计划的直接投资标的为基金公司的特定客户资产管理计划、证券公司资产管理计划、有限合伙份额、信托公司信托产品等标的产品，如本信托计划所投资的标的产品具有分层设计时，本信托计划倾向于投资非优先级，在此种情况下，本信托计划的风险将高于间接投资的定向增发股票/二级市场股票，可能存在定向增发股票/二级市场股票尚未亏损或亏损不大，但本信托计划受益人本金损失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（七）信托资金退出和延期风险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如本信托计划到期时或终止时，因股票停牌等原因致使本信托计划直接或间接持有的证券资产不能变现，则受托人将在信托财产全部变现后再向受益人进行分配或支付，因此，信托计划有延期的风险。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（八）其他风险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除以上所述风险外，本信托计划还存在尽职调查不能穷尽的风险、聘请的中介机构的信用风险，以及其他因政治、经济、自然灾害等不可抗力对信托财产产生影响的风险。</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四、受益人大会具体安排</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1、会议召开方式：通讯方式。</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2、会议投票表决截止时间：2014年10月15日24时</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3、会议通讯表决票寄送至如下地址：</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地址：北京市西城区复兴门内大街28号凯晨世贸中心中座F6</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邮政编码：100031</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联系人：程涛   </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联系电话：010-5956 8332</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会议通讯表决票也可传真方式进行：</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传真：010-5956 8728/ 010-5956 8906</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4、受益人大会的费用</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因召开本次受益人大会而发生的费用，包括但不限于印刷费、邮递费，由受托人先行垫付，由本信托计划信托财产承担。</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五、计票</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1、受益人所持每份信托单位份额基于每个审议事项享有一票表决权。受益人需对三个审议事项逐一进行表决，每个审议事项单独计票。</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2、表决票效力的认定如下：</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(1)表决票需由本信托计划受益人本人签字；如受益人本人无法签署表决票，应由本人签署授权书授权他人代为签署表决票，并将授权书与表决票一并提供给受托人。受益人为机构客户的表决票需加盖公章。</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(2)表决票填写完整清晰,所提供文件符合本会议通知规定,且在规定时间之内送达受托人,为有效表决票；有效表决票按表决意见计入相应的表决结果,其所代表的信托份额计入参加本次受益人大会表决的信托份额总数。</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(3)如表决票上的表决意见未选、多选或无法辨认,但其他各项符合会议通知规定的,视为弃权表决,计入有效表决票；并按“弃权”计入对应的表决结果,其所代表的信托份额计入参加本次受益人大会表决的信托份额总数。</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(4)如表决票上的签字或盖章部分填写不完整、不清晰的,或未能提供有效证明受益人身份或代理人经有效授权的证明文件的,或未能在规定时间之内送达受托人,均为无效表决票；无效表决票不计入参加本次受益大会表决的信托份额总数。</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(5)受益人重复提交表决票的,如各表决票表决意见相同,则视为同一表决票；如各表决票表决意见不相同,则按如下原则处理：</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①送达时间不是同一天的,以最后送达的填写有效的表决票为准,先送达的表决票视为被撤回；</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②送达时间为同一天的,视为在同一表决票上做出了不同表决意见,计入弃权表决票；</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③送达时间按如下原则确定：专人送达的以实际递交时间为准,邮寄的以受托人收到的时间为准，传真的以收到传真当日。</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（6）弃权票所代表的信托份额计入参加本次受益人大会表决的信托份额总数，并视为同意表决。</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附件一：《外贸信托•九智1号定向增发集合资金信托计划受益人大会通讯表决票》</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附件二：《授权委托书》</w:t>
            </w:r>
          </w:p>
          <w:p w:rsidR="004C3E15" w:rsidRPr="004C3E15" w:rsidRDefault="004C3E15" w:rsidP="004C3E15">
            <w:pPr>
              <w:widowControl/>
              <w:spacing w:before="100" w:beforeAutospacing="1" w:after="100" w:afterAutospacing="1" w:line="245" w:lineRule="atLeast"/>
              <w:ind w:firstLine="480"/>
              <w:jc w:val="righ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中国对外经济贸易信托有限公司</w:t>
            </w:r>
          </w:p>
          <w:p w:rsidR="004C3E15" w:rsidRPr="004C3E15" w:rsidRDefault="004C3E15" w:rsidP="004C3E15">
            <w:pPr>
              <w:widowControl/>
              <w:wordWrap w:val="0"/>
              <w:spacing w:before="100" w:beforeAutospacing="1" w:after="100" w:afterAutospacing="1" w:line="245" w:lineRule="atLeast"/>
              <w:ind w:firstLine="480"/>
              <w:jc w:val="righ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2014年9月26日</w:t>
            </w:r>
          </w:p>
          <w:p w:rsidR="004C3E15" w:rsidRPr="004C3E15" w:rsidRDefault="004C3E15" w:rsidP="004C3E1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br w:type="page"/>
            </w: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附件一</w:t>
            </w:r>
          </w:p>
          <w:p w:rsidR="004C3E15" w:rsidRPr="004C3E15" w:rsidRDefault="004C3E15" w:rsidP="004C3E15">
            <w:pPr>
              <w:widowControl/>
              <w:spacing w:before="100" w:beforeAutospacing="1" w:after="100" w:afterAutospacing="1" w:line="245" w:lineRule="atLeast"/>
              <w:ind w:firstLine="480"/>
              <w:jc w:val="center"/>
              <w:rPr>
                <w:rFonts w:ascii="宋体" w:eastAsia="宋体" w:hAnsi="宋体" w:cs="宋体" w:hint="eastAsia"/>
                <w:color w:val="6E6E6E"/>
                <w:kern w:val="0"/>
                <w:sz w:val="16"/>
                <w:szCs w:val="16"/>
              </w:rPr>
            </w:pPr>
            <w:r w:rsidRPr="004C3E15">
              <w:rPr>
                <w:rFonts w:ascii="宋体" w:eastAsia="宋体" w:hAnsi="宋体" w:cs="宋体" w:hint="eastAsia"/>
                <w:b/>
                <w:bCs/>
                <w:color w:val="6E6E6E"/>
                <w:kern w:val="0"/>
                <w:sz w:val="16"/>
                <w:szCs w:val="16"/>
              </w:rPr>
              <w:t>外贸信托•九智1号定向增发集合资金信托计划受益人大会通讯表决票</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受益人名称：</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证件号码(身份证件号/营业执照号)：</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审议事项：审议事项一：增设临时分配日；审议事项二：延长信托计划期限及投资期；审议事项三：增加信托计划投资范围。</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表决结果：</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审议事项一：同意</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 反对</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弃权</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审议事项二：同意</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 反对</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弃权</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审议事项三：同意</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 反对</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弃权</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受益人/被授权人签名或盖章</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日期：   2014年  月  日</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说明：</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1、请就审议事项逐项进行表决，表示"同意"、"反对"或"弃权",并在相应栏内画"√",同一审议事项只能表示一项意见；</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2、未填、多填、字迹无法辨认或意愿无法判断的表决票或未投的表决票均视为投票人放弃表决权利,其所持全部基金份额的表决结果均计为"弃权"。</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br w:type="page"/>
            </w:r>
            <w:r w:rsidRPr="004C3E15">
              <w:rPr>
                <w:rFonts w:ascii="宋体" w:eastAsia="宋体" w:hAnsi="宋体" w:cs="宋体" w:hint="eastAsia"/>
                <w:b/>
                <w:bCs/>
                <w:color w:val="6E6E6E"/>
                <w:kern w:val="0"/>
                <w:sz w:val="16"/>
                <w:szCs w:val="16"/>
              </w:rPr>
              <w:t>附件二：授权委托书</w:t>
            </w:r>
          </w:p>
          <w:p w:rsidR="004C3E15" w:rsidRPr="004C3E15" w:rsidRDefault="004C3E15" w:rsidP="004C3E15">
            <w:pPr>
              <w:widowControl/>
              <w:spacing w:before="100" w:beforeAutospacing="1" w:after="100" w:afterAutospacing="1" w:line="245"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兹全权委托</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先生／女士或</w:t>
            </w:r>
            <w:r w:rsidRPr="004C3E15">
              <w:rPr>
                <w:rFonts w:ascii="宋体" w:eastAsia="宋体" w:hAnsi="宋体" w:cs="宋体" w:hint="eastAsia"/>
                <w:color w:val="6E6E6E"/>
                <w:kern w:val="0"/>
                <w:sz w:val="16"/>
                <w:szCs w:val="16"/>
                <w:u w:val="single"/>
              </w:rPr>
              <w:t>                       </w:t>
            </w:r>
            <w:r w:rsidRPr="004C3E15">
              <w:rPr>
                <w:rFonts w:ascii="宋体" w:eastAsia="宋体" w:hAnsi="宋体" w:cs="宋体" w:hint="eastAsia"/>
                <w:color w:val="6E6E6E"/>
                <w:kern w:val="0"/>
                <w:sz w:val="16"/>
                <w:u w:val="single"/>
              </w:rPr>
              <w:t> </w:t>
            </w:r>
            <w:r w:rsidRPr="004C3E15">
              <w:rPr>
                <w:rFonts w:ascii="宋体" w:eastAsia="宋体" w:hAnsi="宋体" w:cs="宋体" w:hint="eastAsia"/>
                <w:color w:val="6E6E6E"/>
                <w:kern w:val="0"/>
                <w:sz w:val="16"/>
                <w:szCs w:val="16"/>
              </w:rPr>
              <w:t>代表本人(或本机构)参加投票截止日为2014年10月15日的以通讯方式召开的“外贸信托•九智1号定向增发集合资金信托计划受益人大会”,并代为全权行使所有议案的表决权。表决意见以被授权人的表决意见为准。</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授权人(签字/盖章)：</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证件号码(身份证件号/营业执照号)：</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被授权人签字/盖章：</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证件号码(身份证件号/营业执照号)：</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委托日期：2014年    月    日</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26"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 </w:t>
            </w:r>
          </w:p>
          <w:p w:rsidR="004C3E15" w:rsidRPr="004C3E15" w:rsidRDefault="004C3E15" w:rsidP="004C3E15">
            <w:pPr>
              <w:widowControl/>
              <w:spacing w:before="100" w:beforeAutospacing="1" w:after="100" w:afterAutospacing="1" w:line="340" w:lineRule="atLeast"/>
              <w:ind w:firstLine="480"/>
              <w:jc w:val="left"/>
              <w:rPr>
                <w:rFonts w:ascii="宋体" w:eastAsia="宋体" w:hAnsi="宋体" w:cs="宋体" w:hint="eastAsia"/>
                <w:color w:val="6E6E6E"/>
                <w:kern w:val="0"/>
                <w:sz w:val="16"/>
                <w:szCs w:val="16"/>
              </w:rPr>
            </w:pPr>
            <w:r w:rsidRPr="004C3E15">
              <w:rPr>
                <w:rFonts w:ascii="宋体" w:eastAsia="宋体" w:hAnsi="宋体" w:cs="宋体" w:hint="eastAsia"/>
                <w:color w:val="6E6E6E"/>
                <w:kern w:val="0"/>
                <w:sz w:val="16"/>
                <w:szCs w:val="16"/>
              </w:rPr>
              <w:t>（附注：此授权委托书在填写完整并签字/盖章后生效）</w:t>
            </w:r>
          </w:p>
          <w:p w:rsidR="004C3E15" w:rsidRPr="004C3E15" w:rsidRDefault="004C3E15" w:rsidP="004C3E15">
            <w:pPr>
              <w:widowControl/>
              <w:spacing w:before="100" w:beforeAutospacing="1" w:after="100" w:afterAutospacing="1" w:line="340" w:lineRule="atLeast"/>
              <w:ind w:firstLine="480"/>
              <w:jc w:val="left"/>
              <w:rPr>
                <w:rFonts w:ascii="宋体" w:eastAsia="宋体" w:hAnsi="宋体" w:cs="宋体"/>
                <w:color w:val="6E6E6E"/>
                <w:kern w:val="0"/>
                <w:sz w:val="16"/>
                <w:szCs w:val="16"/>
              </w:rPr>
            </w:pPr>
            <w:r w:rsidRPr="004C3E15">
              <w:rPr>
                <w:rFonts w:ascii="宋体" w:eastAsia="宋体" w:hAnsi="宋体" w:cs="宋体" w:hint="eastAsia"/>
                <w:color w:val="6E6E6E"/>
                <w:kern w:val="0"/>
                <w:sz w:val="16"/>
                <w:szCs w:val="16"/>
              </w:rPr>
              <w:t> </w:t>
            </w:r>
          </w:p>
        </w:tc>
      </w:tr>
    </w:tbl>
    <w:p w:rsidR="00A45B34" w:rsidRDefault="00A45B34"/>
    <w:sectPr w:rsidR="00A45B3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45B34" w:rsidRDefault="00A45B34" w:rsidP="004C3E15">
      <w:r>
        <w:separator/>
      </w:r>
    </w:p>
  </w:endnote>
  <w:endnote w:type="continuationSeparator" w:id="1">
    <w:p w:rsidR="00A45B34" w:rsidRDefault="00A45B34" w:rsidP="004C3E1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45B34" w:rsidRDefault="00A45B34" w:rsidP="004C3E15">
      <w:r>
        <w:separator/>
      </w:r>
    </w:p>
  </w:footnote>
  <w:footnote w:type="continuationSeparator" w:id="1">
    <w:p w:rsidR="00A45B34" w:rsidRDefault="00A45B34" w:rsidP="004C3E1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C3E15"/>
    <w:rsid w:val="004C3E15"/>
    <w:rsid w:val="00A45B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C3E1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C3E15"/>
    <w:rPr>
      <w:sz w:val="18"/>
      <w:szCs w:val="18"/>
    </w:rPr>
  </w:style>
  <w:style w:type="paragraph" w:styleId="a4">
    <w:name w:val="footer"/>
    <w:basedOn w:val="a"/>
    <w:link w:val="Char0"/>
    <w:uiPriority w:val="99"/>
    <w:semiHidden/>
    <w:unhideWhenUsed/>
    <w:rsid w:val="004C3E1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C3E15"/>
    <w:rPr>
      <w:sz w:val="18"/>
      <w:szCs w:val="18"/>
    </w:rPr>
  </w:style>
  <w:style w:type="paragraph" w:styleId="a5">
    <w:name w:val="Normal (Web)"/>
    <w:basedOn w:val="a"/>
    <w:uiPriority w:val="99"/>
    <w:unhideWhenUsed/>
    <w:rsid w:val="004C3E15"/>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4C3E15"/>
  </w:style>
</w:styles>
</file>

<file path=word/webSettings.xml><?xml version="1.0" encoding="utf-8"?>
<w:webSettings xmlns:r="http://schemas.openxmlformats.org/officeDocument/2006/relationships" xmlns:w="http://schemas.openxmlformats.org/wordprocessingml/2006/main">
  <w:divs>
    <w:div w:id="548538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858</Words>
  <Characters>4892</Characters>
  <Application>Microsoft Office Word</Application>
  <DocSecurity>0</DocSecurity>
  <Lines>40</Lines>
  <Paragraphs>11</Paragraphs>
  <ScaleCrop>false</ScaleCrop>
  <Company/>
  <LinksUpToDate>false</LinksUpToDate>
  <CharactersWithSpaces>5739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fh</dc:creator>
  <cp:keywords/>
  <dc:description/>
  <cp:lastModifiedBy>fh</cp:lastModifiedBy>
  <cp:revision>2</cp:revision>
  <dcterms:created xsi:type="dcterms:W3CDTF">2014-09-30T02:56:00Z</dcterms:created>
  <dcterms:modified xsi:type="dcterms:W3CDTF">2014-09-30T02:56:00Z</dcterms:modified>
</cp:coreProperties>
</file>