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80" w:type="dxa"/>
        <w:tblCellSpacing w:w="0" w:type="dxa"/>
        <w:shd w:val="clear" w:color="auto" w:fill="FAFDFF"/>
        <w:tblCellMar>
          <w:left w:w="0" w:type="dxa"/>
          <w:right w:w="0" w:type="dxa"/>
        </w:tblCellMar>
        <w:tblLook w:val="04A0"/>
      </w:tblPr>
      <w:tblGrid>
        <w:gridCol w:w="1905"/>
        <w:gridCol w:w="6675"/>
      </w:tblGrid>
      <w:tr w:rsidR="00DD0090" w:rsidRPr="00DD0090" w:rsidTr="00DD0090">
        <w:trPr>
          <w:trHeight w:val="300"/>
          <w:tblCellSpacing w:w="0" w:type="dxa"/>
        </w:trPr>
        <w:tc>
          <w:tcPr>
            <w:tcW w:w="85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产品基本要素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产品名称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新宇资产管理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号私募投资基金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产品类型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私募证券投资基金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基金管理人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绍兴市新宇资产管理有限公司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产品类型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管理型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产品规模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1500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万人民币，其中基金管理人投资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800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万，对普通投资者募集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700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万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投资范围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国内上市可交易期货、期权、股市、债市及其他金融衍生品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投资策略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结合主观、客观策略，在相对价格、绝对价格运行中积极寻找交易机会。对趋势、套利、对冲、量化不同交易模型进行分头寸分配，实现多策略、多品种、多周期的操作模式。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收益分配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产品在净值大于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1.0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的情况下，投资者获得投资份额利润部分的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80%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，基金管理人提取利润部分的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20%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作为业绩报酬。</w:t>
            </w:r>
          </w:p>
        </w:tc>
      </w:tr>
      <w:tr w:rsidR="00DD0090" w:rsidRPr="00DD0090" w:rsidTr="00DD0090">
        <w:trPr>
          <w:trHeight w:val="63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仓位控制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预警线：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0.85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；止损线：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0.80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br/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当净值≥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1.15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时，期货日内持仓不大于总资金的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80%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br/>
              <w:t>当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0.95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≤净值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&lt;1.15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时，期货日内持仓不大于总资金的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70%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当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0.90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≤净值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&lt;0.95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时，期货日内持仓不大于总资金的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50%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当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0.83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≤净值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&lt;0.90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时，期货日内持仓不大于总资金的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40%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；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br/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当净值≥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1.25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时，期货隔夜持仓不超总资金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70%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；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br/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当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1.15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≤净值</w:t>
            </w: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&lt;1.25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时，期货隔夜持仓不超总资金60%；            当1.05≤净值&lt;1.15时，期货隔夜持仓不超总资金50%；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br/>
              <w:t>当0.95≤净值&lt;1.05时，期货隔夜持仓不超总资金40%；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br/>
              <w:t>当0.90≤净值&lt;0.95时，期货隔夜持仓不超总资金30%；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br/>
              <w:t>当0.83≤净值&lt;0.90时，期货隔夜持仓不超总资金20%；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br/>
              <w:t>当0.80≤净值&lt;0.83时，所以期货合约全部平仓，只允许购买包括债券回购、银行存款、货币基金等固定收益产品。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风险控制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本产品的预警线为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0.85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元，止损线为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0.80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元；若本产品资产份额净值小于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0.80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时，基金管理人以其自身的资产净值为限，补足普通投资者份额净值低于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0.80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以下部分的亏损，直至普通投资者的份额净值达到</w:t>
            </w:r>
            <w:r w:rsidRPr="00DD0090">
              <w:rPr>
                <w:rFonts w:ascii="simsun" w:eastAsia="宋体" w:hAnsi="simsun" w:cs="Arial"/>
                <w:color w:val="333333"/>
                <w:kern w:val="0"/>
                <w:szCs w:val="21"/>
              </w:rPr>
              <w:t>0.80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。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产品期限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存续期一年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开放期设置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不设开放期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最低认购额度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100</w:t>
            </w: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万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管理费用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0.3%</w:t>
            </w:r>
          </w:p>
        </w:tc>
      </w:tr>
      <w:tr w:rsidR="00DD0090" w:rsidRPr="00DD0090" w:rsidTr="00DD0090">
        <w:trPr>
          <w:trHeight w:val="300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托管费用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Arial" w:eastAsia="宋体" w:hAnsi="Arial" w:cs="Arial"/>
                <w:color w:val="333333"/>
                <w:kern w:val="0"/>
                <w:szCs w:val="21"/>
              </w:rPr>
              <w:t>0.2%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净值公布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每周一次</w:t>
            </w:r>
          </w:p>
        </w:tc>
      </w:tr>
      <w:tr w:rsidR="00DD0090" w:rsidRPr="00DD0090" w:rsidTr="00DD0090">
        <w:trPr>
          <w:trHeight w:val="315"/>
          <w:tblCellSpacing w:w="0" w:type="dxa"/>
        </w:trPr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资金托管方</w:t>
            </w:r>
          </w:p>
        </w:tc>
        <w:tc>
          <w:tcPr>
            <w:tcW w:w="66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AFD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DD0090" w:rsidRPr="00DD0090" w:rsidRDefault="00DD0090" w:rsidP="00DD0090">
            <w:pPr>
              <w:widowControl/>
              <w:spacing w:line="420" w:lineRule="atLeast"/>
              <w:jc w:val="left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DD0090">
              <w:rPr>
                <w:rFonts w:ascii="宋体" w:eastAsia="宋体" w:hAnsi="宋体" w:cs="Arial" w:hint="eastAsia"/>
                <w:color w:val="333333"/>
                <w:kern w:val="0"/>
                <w:szCs w:val="21"/>
              </w:rPr>
              <w:t>中国工商银行</w:t>
            </w:r>
          </w:p>
        </w:tc>
      </w:tr>
    </w:tbl>
    <w:p w:rsidR="00A95360" w:rsidRPr="00DD0090" w:rsidRDefault="00E64E9B" w:rsidP="00DD0090"/>
    <w:sectPr w:rsidR="00A95360" w:rsidRPr="00DD0090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4E9B" w:rsidRDefault="00E64E9B" w:rsidP="00925617">
      <w:r>
        <w:separator/>
      </w:r>
    </w:p>
  </w:endnote>
  <w:endnote w:type="continuationSeparator" w:id="0">
    <w:p w:rsidR="00E64E9B" w:rsidRDefault="00E64E9B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4E9B" w:rsidRDefault="00E64E9B" w:rsidP="00925617">
      <w:r>
        <w:separator/>
      </w:r>
    </w:p>
  </w:footnote>
  <w:footnote w:type="continuationSeparator" w:id="0">
    <w:p w:rsidR="00E64E9B" w:rsidRDefault="00E64E9B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232967"/>
    <w:rsid w:val="006E02F7"/>
    <w:rsid w:val="008E2063"/>
    <w:rsid w:val="00925617"/>
    <w:rsid w:val="009559B1"/>
    <w:rsid w:val="00DD0090"/>
    <w:rsid w:val="00E64E9B"/>
    <w:rsid w:val="00EC2002"/>
    <w:rsid w:val="00F64B04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2014-12-02T02:08:00Z</dcterms:created>
  <dcterms:modified xsi:type="dcterms:W3CDTF">2014-12-02T02:08:00Z</dcterms:modified>
</cp:coreProperties>
</file>