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169" w:rsidRPr="006E6169" w:rsidRDefault="006E6169" w:rsidP="006E6169">
      <w:pPr>
        <w:widowControl/>
        <w:shd w:val="clear" w:color="auto" w:fill="FFFFFF"/>
        <w:jc w:val="center"/>
        <w:textAlignment w:val="baseline"/>
        <w:rPr>
          <w:rFonts w:ascii="Arial" w:eastAsia="宋体" w:hAnsi="Arial" w:cs="Arial"/>
          <w:color w:val="000000"/>
          <w:kern w:val="0"/>
          <w:sz w:val="18"/>
          <w:szCs w:val="18"/>
        </w:rPr>
      </w:pPr>
      <w:r w:rsidRPr="006E6169">
        <w:rPr>
          <w:rFonts w:ascii="inherit" w:eastAsia="宋体" w:hAnsi="inherit" w:cs="Arial"/>
          <w:b/>
          <w:bCs/>
          <w:color w:val="000000"/>
          <w:kern w:val="0"/>
          <w:sz w:val="27"/>
          <w:szCs w:val="27"/>
          <w:bdr w:val="none" w:sz="0" w:space="0" w:color="auto" w:frame="1"/>
        </w:rPr>
        <w:t>“</w:t>
      </w:r>
      <w:r w:rsidRPr="006E6169">
        <w:rPr>
          <w:rFonts w:ascii="inherit" w:eastAsia="宋体" w:hAnsi="inherit" w:cs="Arial"/>
          <w:b/>
          <w:bCs/>
          <w:color w:val="000000"/>
          <w:kern w:val="0"/>
          <w:sz w:val="27"/>
          <w:szCs w:val="27"/>
          <w:bdr w:val="none" w:sz="0" w:space="0" w:color="auto" w:frame="1"/>
        </w:rPr>
        <w:t>若愚量化动态对冲</w:t>
      </w:r>
      <w:r w:rsidRPr="006E6169">
        <w:rPr>
          <w:rFonts w:ascii="inherit" w:eastAsia="宋体" w:hAnsi="inherit" w:cs="Arial"/>
          <w:b/>
          <w:bCs/>
          <w:color w:val="000000"/>
          <w:kern w:val="0"/>
          <w:sz w:val="27"/>
          <w:szCs w:val="27"/>
          <w:bdr w:val="none" w:sz="0" w:space="0" w:color="auto" w:frame="1"/>
        </w:rPr>
        <w:t>1</w:t>
      </w:r>
      <w:r w:rsidRPr="006E6169">
        <w:rPr>
          <w:rFonts w:ascii="inherit" w:eastAsia="宋体" w:hAnsi="inherit" w:cs="Arial"/>
          <w:b/>
          <w:bCs/>
          <w:color w:val="000000"/>
          <w:kern w:val="0"/>
          <w:sz w:val="27"/>
          <w:szCs w:val="27"/>
          <w:bdr w:val="none" w:sz="0" w:space="0" w:color="auto" w:frame="1"/>
        </w:rPr>
        <w:t>期</w:t>
      </w:r>
      <w:r w:rsidRPr="006E6169">
        <w:rPr>
          <w:rFonts w:ascii="inherit" w:eastAsia="宋体" w:hAnsi="inherit" w:cs="Arial"/>
          <w:b/>
          <w:bCs/>
          <w:color w:val="000000"/>
          <w:kern w:val="0"/>
          <w:sz w:val="27"/>
          <w:szCs w:val="27"/>
          <w:bdr w:val="none" w:sz="0" w:space="0" w:color="auto" w:frame="1"/>
        </w:rPr>
        <w:t>”</w:t>
      </w:r>
      <w:r w:rsidRPr="006E6169">
        <w:rPr>
          <w:rFonts w:ascii="inherit" w:eastAsia="宋体" w:hAnsi="inherit" w:cs="Arial"/>
          <w:b/>
          <w:bCs/>
          <w:color w:val="000000"/>
          <w:kern w:val="0"/>
          <w:sz w:val="27"/>
          <w:szCs w:val="27"/>
          <w:bdr w:val="none" w:sz="0" w:space="0" w:color="auto" w:frame="1"/>
        </w:rPr>
        <w:t>正式成立</w:t>
      </w:r>
      <w:r w:rsidRPr="006E6169">
        <w:rPr>
          <w:rFonts w:ascii="Arial" w:eastAsia="宋体" w:hAnsi="Arial" w:cs="Arial"/>
          <w:color w:val="000000"/>
          <w:kern w:val="0"/>
          <w:sz w:val="18"/>
          <w:szCs w:val="18"/>
        </w:rPr>
        <w:br/>
      </w:r>
      <w:r w:rsidRPr="006E6169">
        <w:rPr>
          <w:rFonts w:ascii="Arial" w:eastAsia="宋体" w:hAnsi="Arial" w:cs="Arial"/>
          <w:color w:val="000000"/>
          <w:kern w:val="0"/>
          <w:sz w:val="18"/>
          <w:szCs w:val="18"/>
        </w:rPr>
        <w:br/>
      </w:r>
      <w:r w:rsidRPr="006E6169">
        <w:rPr>
          <w:rFonts w:ascii="Arial" w:eastAsia="宋体" w:hAnsi="Arial" w:cs="Arial"/>
          <w:color w:val="000000"/>
          <w:kern w:val="0"/>
          <w:sz w:val="18"/>
          <w:szCs w:val="18"/>
        </w:rPr>
        <w:t>发布日期：</w:t>
      </w:r>
      <w:r w:rsidRPr="006E6169">
        <w:rPr>
          <w:rFonts w:ascii="Arial" w:eastAsia="宋体" w:hAnsi="Arial" w:cs="Arial"/>
          <w:color w:val="000000"/>
          <w:kern w:val="0"/>
          <w:sz w:val="18"/>
          <w:szCs w:val="18"/>
        </w:rPr>
        <w:t>2015-02-05</w:t>
      </w:r>
    </w:p>
    <w:p w:rsidR="006E6169" w:rsidRPr="006E6169" w:rsidRDefault="006E6169" w:rsidP="006E6169">
      <w:pPr>
        <w:widowControl/>
        <w:shd w:val="clear" w:color="auto" w:fill="FFFFFF"/>
        <w:jc w:val="center"/>
        <w:textAlignment w:val="baseline"/>
        <w:rPr>
          <w:rFonts w:ascii="Arial" w:eastAsia="宋体" w:hAnsi="Arial" w:cs="Arial"/>
          <w:color w:val="000000"/>
          <w:kern w:val="0"/>
          <w:sz w:val="18"/>
          <w:szCs w:val="18"/>
        </w:rPr>
      </w:pPr>
      <w:r w:rsidRPr="006E6169">
        <w:rPr>
          <w:rFonts w:ascii="Arial" w:eastAsia="宋体" w:hAnsi="Arial" w:cs="Arial"/>
          <w:color w:val="000000"/>
          <w:kern w:val="0"/>
          <w:sz w:val="18"/>
          <w:szCs w:val="18"/>
        </w:rPr>
        <w:pict>
          <v:rect id="_x0000_i1025" style="width:0;height:.75pt" o:hralign="center" o:hrstd="t" o:hr="t" fillcolor="#aca899" stroked="f"/>
        </w:pict>
      </w:r>
    </w:p>
    <w:p w:rsidR="006E6169" w:rsidRPr="006E6169" w:rsidRDefault="006E6169" w:rsidP="006E6169">
      <w:pPr>
        <w:widowControl/>
        <w:jc w:val="left"/>
        <w:rPr>
          <w:rFonts w:ascii="宋体" w:eastAsia="宋体" w:hAnsi="宋体" w:cs="宋体"/>
          <w:kern w:val="0"/>
          <w:sz w:val="24"/>
          <w:szCs w:val="24"/>
        </w:rPr>
      </w:pPr>
    </w:p>
    <w:p w:rsidR="006E6169" w:rsidRPr="006E6169" w:rsidRDefault="006E6169" w:rsidP="006E6169">
      <w:pPr>
        <w:widowControl/>
        <w:shd w:val="clear" w:color="auto" w:fill="FFFFFF"/>
        <w:jc w:val="left"/>
        <w:textAlignment w:val="baseline"/>
        <w:rPr>
          <w:rFonts w:ascii="Arial" w:eastAsia="宋体" w:hAnsi="Arial" w:cs="Arial"/>
          <w:color w:val="000000"/>
          <w:kern w:val="0"/>
          <w:sz w:val="18"/>
          <w:szCs w:val="18"/>
        </w:rPr>
      </w:pPr>
      <w:r w:rsidRPr="006E6169">
        <w:rPr>
          <w:rFonts w:ascii="Arial" w:eastAsia="宋体" w:hAnsi="Arial" w:cs="Arial"/>
          <w:color w:val="000000"/>
          <w:kern w:val="0"/>
          <w:sz w:val="18"/>
          <w:szCs w:val="18"/>
        </w:rPr>
        <w:t>“</w:t>
      </w:r>
      <w:r w:rsidRPr="006E6169">
        <w:rPr>
          <w:rFonts w:ascii="Arial" w:eastAsia="宋体" w:hAnsi="Arial" w:cs="Arial"/>
          <w:color w:val="000000"/>
          <w:kern w:val="0"/>
          <w:sz w:val="18"/>
          <w:szCs w:val="18"/>
        </w:rPr>
        <w:t>若愚量化动态对冲</w:t>
      </w:r>
      <w:r w:rsidRPr="006E6169">
        <w:rPr>
          <w:rFonts w:ascii="Arial" w:eastAsia="宋体" w:hAnsi="Arial" w:cs="Arial"/>
          <w:color w:val="000000"/>
          <w:kern w:val="0"/>
          <w:sz w:val="18"/>
          <w:szCs w:val="18"/>
        </w:rPr>
        <w:t>1</w:t>
      </w:r>
      <w:r w:rsidRPr="006E6169">
        <w:rPr>
          <w:rFonts w:ascii="Arial" w:eastAsia="宋体" w:hAnsi="Arial" w:cs="Arial"/>
          <w:color w:val="000000"/>
          <w:kern w:val="0"/>
          <w:sz w:val="18"/>
          <w:szCs w:val="18"/>
        </w:rPr>
        <w:t>期证券投资基金</w:t>
      </w:r>
      <w:r w:rsidRPr="006E6169">
        <w:rPr>
          <w:rFonts w:ascii="Arial" w:eastAsia="宋体" w:hAnsi="Arial" w:cs="Arial"/>
          <w:color w:val="000000"/>
          <w:kern w:val="0"/>
          <w:sz w:val="18"/>
          <w:szCs w:val="18"/>
        </w:rPr>
        <w:t>”</w:t>
      </w:r>
      <w:r w:rsidRPr="006E6169">
        <w:rPr>
          <w:rFonts w:ascii="Arial" w:eastAsia="宋体" w:hAnsi="Arial" w:cs="Arial"/>
          <w:color w:val="000000"/>
          <w:kern w:val="0"/>
          <w:sz w:val="18"/>
          <w:szCs w:val="18"/>
        </w:rPr>
        <w:t>于</w:t>
      </w:r>
      <w:r w:rsidRPr="006E6169">
        <w:rPr>
          <w:rFonts w:ascii="Arial" w:eastAsia="宋体" w:hAnsi="Arial" w:cs="Arial"/>
          <w:color w:val="000000"/>
          <w:kern w:val="0"/>
          <w:sz w:val="18"/>
          <w:szCs w:val="18"/>
        </w:rPr>
        <w:t>2015</w:t>
      </w:r>
      <w:r w:rsidRPr="006E6169">
        <w:rPr>
          <w:rFonts w:ascii="Arial" w:eastAsia="宋体" w:hAnsi="Arial" w:cs="Arial"/>
          <w:color w:val="000000"/>
          <w:kern w:val="0"/>
          <w:sz w:val="18"/>
          <w:szCs w:val="18"/>
        </w:rPr>
        <w:t>年</w:t>
      </w:r>
      <w:r w:rsidRPr="006E6169">
        <w:rPr>
          <w:rFonts w:ascii="Arial" w:eastAsia="宋体" w:hAnsi="Arial" w:cs="Arial"/>
          <w:color w:val="000000"/>
          <w:kern w:val="0"/>
          <w:sz w:val="18"/>
          <w:szCs w:val="18"/>
        </w:rPr>
        <w:t>2</w:t>
      </w:r>
      <w:r w:rsidRPr="006E6169">
        <w:rPr>
          <w:rFonts w:ascii="Arial" w:eastAsia="宋体" w:hAnsi="Arial" w:cs="Arial"/>
          <w:color w:val="000000"/>
          <w:kern w:val="0"/>
          <w:sz w:val="18"/>
          <w:szCs w:val="18"/>
        </w:rPr>
        <w:t>月</w:t>
      </w:r>
      <w:r w:rsidRPr="006E6169">
        <w:rPr>
          <w:rFonts w:ascii="Arial" w:eastAsia="宋体" w:hAnsi="Arial" w:cs="Arial"/>
          <w:color w:val="000000"/>
          <w:kern w:val="0"/>
          <w:sz w:val="18"/>
          <w:szCs w:val="18"/>
        </w:rPr>
        <w:t>5</w:t>
      </w:r>
      <w:r w:rsidRPr="006E6169">
        <w:rPr>
          <w:rFonts w:ascii="Arial" w:eastAsia="宋体" w:hAnsi="Arial" w:cs="Arial"/>
          <w:color w:val="000000"/>
          <w:kern w:val="0"/>
          <w:sz w:val="18"/>
          <w:szCs w:val="18"/>
        </w:rPr>
        <w:t>日正式成立。</w:t>
      </w:r>
      <w:r w:rsidRPr="006E6169">
        <w:rPr>
          <w:rFonts w:ascii="Arial" w:eastAsia="宋体" w:hAnsi="Arial" w:cs="Arial"/>
          <w:color w:val="000000"/>
          <w:kern w:val="0"/>
          <w:sz w:val="18"/>
          <w:szCs w:val="18"/>
        </w:rPr>
        <w:t>“</w:t>
      </w:r>
      <w:r w:rsidRPr="006E6169">
        <w:rPr>
          <w:rFonts w:ascii="Arial" w:eastAsia="宋体" w:hAnsi="Arial" w:cs="Arial"/>
          <w:color w:val="000000"/>
          <w:kern w:val="0"/>
          <w:sz w:val="18"/>
          <w:szCs w:val="18"/>
        </w:rPr>
        <w:t>若愚量化动态对冲</w:t>
      </w:r>
      <w:r w:rsidRPr="006E6169">
        <w:rPr>
          <w:rFonts w:ascii="Arial" w:eastAsia="宋体" w:hAnsi="Arial" w:cs="Arial"/>
          <w:color w:val="000000"/>
          <w:kern w:val="0"/>
          <w:sz w:val="18"/>
          <w:szCs w:val="18"/>
        </w:rPr>
        <w:t>1</w:t>
      </w:r>
      <w:r w:rsidRPr="006E6169">
        <w:rPr>
          <w:rFonts w:ascii="Arial" w:eastAsia="宋体" w:hAnsi="Arial" w:cs="Arial"/>
          <w:color w:val="000000"/>
          <w:kern w:val="0"/>
          <w:sz w:val="18"/>
          <w:szCs w:val="18"/>
        </w:rPr>
        <w:t>期证券投资基金</w:t>
      </w:r>
      <w:r w:rsidRPr="006E6169">
        <w:rPr>
          <w:rFonts w:ascii="Arial" w:eastAsia="宋体" w:hAnsi="Arial" w:cs="Arial"/>
          <w:color w:val="000000"/>
          <w:kern w:val="0"/>
          <w:sz w:val="18"/>
          <w:szCs w:val="18"/>
        </w:rPr>
        <w:t xml:space="preserve">” </w:t>
      </w:r>
      <w:r w:rsidRPr="006E6169">
        <w:rPr>
          <w:rFonts w:ascii="Arial" w:eastAsia="宋体" w:hAnsi="Arial" w:cs="Arial"/>
          <w:color w:val="000000"/>
          <w:kern w:val="0"/>
          <w:sz w:val="18"/>
          <w:szCs w:val="18"/>
        </w:rPr>
        <w:t>为上海若愚资产管理有限公司自主发行的私募证券投资基金，上海若愚资产管理有限公司担任该基金的基金管理人，由中信证券股份有限公司托管、登记结算、估值、信息披露。</w:t>
      </w:r>
      <w:r w:rsidRPr="006E6169">
        <w:rPr>
          <w:rFonts w:ascii="Arial" w:eastAsia="宋体" w:hAnsi="Arial" w:cs="Arial"/>
          <w:color w:val="000000"/>
          <w:kern w:val="0"/>
          <w:sz w:val="18"/>
          <w:szCs w:val="18"/>
        </w:rPr>
        <w:t xml:space="preserve"> “</w:t>
      </w:r>
      <w:r w:rsidRPr="006E6169">
        <w:rPr>
          <w:rFonts w:ascii="Arial" w:eastAsia="宋体" w:hAnsi="Arial" w:cs="Arial"/>
          <w:color w:val="000000"/>
          <w:kern w:val="0"/>
          <w:sz w:val="18"/>
          <w:szCs w:val="18"/>
        </w:rPr>
        <w:t>若愚量化动态对冲</w:t>
      </w:r>
      <w:r w:rsidRPr="006E6169">
        <w:rPr>
          <w:rFonts w:ascii="Arial" w:eastAsia="宋体" w:hAnsi="Arial" w:cs="Arial"/>
          <w:color w:val="000000"/>
          <w:kern w:val="0"/>
          <w:sz w:val="18"/>
          <w:szCs w:val="18"/>
        </w:rPr>
        <w:t>1</w:t>
      </w:r>
      <w:r w:rsidRPr="006E6169">
        <w:rPr>
          <w:rFonts w:ascii="Arial" w:eastAsia="宋体" w:hAnsi="Arial" w:cs="Arial"/>
          <w:color w:val="000000"/>
          <w:kern w:val="0"/>
          <w:sz w:val="18"/>
          <w:szCs w:val="18"/>
        </w:rPr>
        <w:t>期证券投资基金</w:t>
      </w:r>
      <w:r w:rsidRPr="006E6169">
        <w:rPr>
          <w:rFonts w:ascii="Arial" w:eastAsia="宋体" w:hAnsi="Arial" w:cs="Arial"/>
          <w:color w:val="000000"/>
          <w:kern w:val="0"/>
          <w:sz w:val="18"/>
          <w:szCs w:val="18"/>
        </w:rPr>
        <w:t>”</w:t>
      </w:r>
      <w:r w:rsidRPr="006E6169">
        <w:rPr>
          <w:rFonts w:ascii="Arial" w:eastAsia="宋体" w:hAnsi="Arial" w:cs="Arial"/>
          <w:color w:val="000000"/>
          <w:kern w:val="0"/>
          <w:sz w:val="18"/>
          <w:szCs w:val="18"/>
        </w:rPr>
        <w:t>投资范围主要为</w:t>
      </w:r>
      <w:r w:rsidRPr="006E6169">
        <w:rPr>
          <w:rFonts w:ascii="Arial" w:eastAsia="宋体" w:hAnsi="Arial" w:cs="Arial"/>
          <w:color w:val="000000"/>
          <w:kern w:val="0"/>
          <w:sz w:val="18"/>
          <w:szCs w:val="18"/>
        </w:rPr>
        <w:t>A</w:t>
      </w:r>
      <w:r w:rsidRPr="006E6169">
        <w:rPr>
          <w:rFonts w:ascii="Arial" w:eastAsia="宋体" w:hAnsi="Arial" w:cs="Arial"/>
          <w:color w:val="000000"/>
          <w:kern w:val="0"/>
          <w:sz w:val="18"/>
          <w:szCs w:val="18"/>
        </w:rPr>
        <w:t>股股票和股指期货，投资目标是在承担中低等风险的前提下获取中高等的投资收益。</w:t>
      </w:r>
      <w:r w:rsidRPr="006E6169">
        <w:rPr>
          <w:rFonts w:ascii="Arial" w:eastAsia="宋体" w:hAnsi="Arial" w:cs="Arial"/>
          <w:color w:val="000000"/>
          <w:kern w:val="0"/>
          <w:sz w:val="18"/>
          <w:szCs w:val="18"/>
        </w:rPr>
        <w:t xml:space="preserve"> “</w:t>
      </w:r>
      <w:r w:rsidRPr="006E6169">
        <w:rPr>
          <w:rFonts w:ascii="Arial" w:eastAsia="宋体" w:hAnsi="Arial" w:cs="Arial"/>
          <w:color w:val="000000"/>
          <w:kern w:val="0"/>
          <w:sz w:val="18"/>
          <w:szCs w:val="18"/>
        </w:rPr>
        <w:t>若愚量化动态对冲</w:t>
      </w:r>
      <w:r w:rsidRPr="006E6169">
        <w:rPr>
          <w:rFonts w:ascii="Arial" w:eastAsia="宋体" w:hAnsi="Arial" w:cs="Arial"/>
          <w:color w:val="000000"/>
          <w:kern w:val="0"/>
          <w:sz w:val="18"/>
          <w:szCs w:val="18"/>
        </w:rPr>
        <w:t>1</w:t>
      </w:r>
      <w:r w:rsidRPr="006E6169">
        <w:rPr>
          <w:rFonts w:ascii="Arial" w:eastAsia="宋体" w:hAnsi="Arial" w:cs="Arial"/>
          <w:color w:val="000000"/>
          <w:kern w:val="0"/>
          <w:sz w:val="18"/>
          <w:szCs w:val="18"/>
        </w:rPr>
        <w:t>期证券投资基金</w:t>
      </w:r>
      <w:r w:rsidRPr="006E6169">
        <w:rPr>
          <w:rFonts w:ascii="Arial" w:eastAsia="宋体" w:hAnsi="Arial" w:cs="Arial"/>
          <w:color w:val="000000"/>
          <w:kern w:val="0"/>
          <w:sz w:val="18"/>
          <w:szCs w:val="18"/>
        </w:rPr>
        <w:t xml:space="preserve">” </w:t>
      </w:r>
      <w:r w:rsidRPr="006E6169">
        <w:rPr>
          <w:rFonts w:ascii="Arial" w:eastAsia="宋体" w:hAnsi="Arial" w:cs="Arial"/>
          <w:color w:val="000000"/>
          <w:kern w:val="0"/>
          <w:sz w:val="18"/>
          <w:szCs w:val="18"/>
        </w:rPr>
        <w:t>采用数量化的选股策略和择时策略进行资产的动态配置管理。股票现货量化策略跟踪多种类型具备坚实内在逻辑支撑的股票价格波动规律，例如：盈利增长驱动股价增长、超额回报均值回归等等。择时策略方面，使用趋势跟踪策略和多因子择时策略。股票现货和股指期货均采用多策略叠加运行。</w:t>
      </w:r>
    </w:p>
    <w:p w:rsidR="00A95360" w:rsidRPr="006E6169" w:rsidRDefault="00B922D7" w:rsidP="006E6169"/>
    <w:sectPr w:rsidR="00A95360" w:rsidRPr="006E6169"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2D7" w:rsidRDefault="00B922D7" w:rsidP="00925617">
      <w:r>
        <w:separator/>
      </w:r>
    </w:p>
  </w:endnote>
  <w:endnote w:type="continuationSeparator" w:id="0">
    <w:p w:rsidR="00B922D7" w:rsidRDefault="00B922D7"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2D7" w:rsidRDefault="00B922D7" w:rsidP="00925617">
      <w:r>
        <w:separator/>
      </w:r>
    </w:p>
  </w:footnote>
  <w:footnote w:type="continuationSeparator" w:id="0">
    <w:p w:rsidR="00B922D7" w:rsidRDefault="00B922D7"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86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21E2D"/>
    <w:rsid w:val="00047D11"/>
    <w:rsid w:val="000E7676"/>
    <w:rsid w:val="0014614D"/>
    <w:rsid w:val="00187933"/>
    <w:rsid w:val="0019662E"/>
    <w:rsid w:val="001B1DC1"/>
    <w:rsid w:val="001C01F6"/>
    <w:rsid w:val="0020726B"/>
    <w:rsid w:val="00232967"/>
    <w:rsid w:val="00257D3F"/>
    <w:rsid w:val="00284BD3"/>
    <w:rsid w:val="00320294"/>
    <w:rsid w:val="00323681"/>
    <w:rsid w:val="00364182"/>
    <w:rsid w:val="003E12FE"/>
    <w:rsid w:val="003F0D4A"/>
    <w:rsid w:val="00430EC9"/>
    <w:rsid w:val="00437387"/>
    <w:rsid w:val="00443F62"/>
    <w:rsid w:val="00505C9E"/>
    <w:rsid w:val="0056755A"/>
    <w:rsid w:val="00587ED8"/>
    <w:rsid w:val="005910A4"/>
    <w:rsid w:val="005E124B"/>
    <w:rsid w:val="005E2E24"/>
    <w:rsid w:val="005E4208"/>
    <w:rsid w:val="0066245E"/>
    <w:rsid w:val="006678D0"/>
    <w:rsid w:val="00673645"/>
    <w:rsid w:val="006E02F7"/>
    <w:rsid w:val="006E6169"/>
    <w:rsid w:val="0070094B"/>
    <w:rsid w:val="00712A88"/>
    <w:rsid w:val="00735FD9"/>
    <w:rsid w:val="007A24AA"/>
    <w:rsid w:val="007E5C4E"/>
    <w:rsid w:val="007F14A7"/>
    <w:rsid w:val="00892873"/>
    <w:rsid w:val="008B4BB3"/>
    <w:rsid w:val="008E2063"/>
    <w:rsid w:val="00923F61"/>
    <w:rsid w:val="00925617"/>
    <w:rsid w:val="00932343"/>
    <w:rsid w:val="009559B1"/>
    <w:rsid w:val="00A5561D"/>
    <w:rsid w:val="00AA34DF"/>
    <w:rsid w:val="00B34562"/>
    <w:rsid w:val="00B553AA"/>
    <w:rsid w:val="00B871C6"/>
    <w:rsid w:val="00B922D7"/>
    <w:rsid w:val="00C42F28"/>
    <w:rsid w:val="00C50A18"/>
    <w:rsid w:val="00C97484"/>
    <w:rsid w:val="00D21D7A"/>
    <w:rsid w:val="00D434E5"/>
    <w:rsid w:val="00DA3856"/>
    <w:rsid w:val="00DD0090"/>
    <w:rsid w:val="00DE2BF9"/>
    <w:rsid w:val="00DE7E04"/>
    <w:rsid w:val="00E61860"/>
    <w:rsid w:val="00E64E9B"/>
    <w:rsid w:val="00EB3E60"/>
    <w:rsid w:val="00EC2002"/>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787043069">
      <w:bodyDiv w:val="1"/>
      <w:marLeft w:val="0"/>
      <w:marRight w:val="0"/>
      <w:marTop w:val="0"/>
      <w:marBottom w:val="0"/>
      <w:divBdr>
        <w:top w:val="none" w:sz="0" w:space="0" w:color="auto"/>
        <w:left w:val="none" w:sz="0" w:space="0" w:color="auto"/>
        <w:bottom w:val="none" w:sz="0" w:space="0" w:color="auto"/>
        <w:right w:val="none" w:sz="0" w:space="0" w:color="auto"/>
      </w:divBdr>
      <w:divsChild>
        <w:div w:id="758217221">
          <w:marLeft w:val="0"/>
          <w:marRight w:val="0"/>
          <w:marTop w:val="0"/>
          <w:marBottom w:val="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Words>
  <Characters>326</Characters>
  <Application>Microsoft Office Word</Application>
  <DocSecurity>0</DocSecurity>
  <Lines>2</Lines>
  <Paragraphs>1</Paragraphs>
  <ScaleCrop>false</ScaleCrop>
  <Company/>
  <LinksUpToDate>false</LinksUpToDate>
  <CharactersWithSpaces>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2015-02-09T01:21:00Z</dcterms:created>
  <dcterms:modified xsi:type="dcterms:W3CDTF">2015-02-09T01:21:00Z</dcterms:modified>
</cp:coreProperties>
</file>