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099" w:rsidRDefault="00632099" w:rsidP="00CF7CF0">
      <w:pPr>
        <w:widowControl/>
        <w:numPr>
          <w:ilvl w:val="0"/>
          <w:numId w:val="1"/>
        </w:numPr>
        <w:shd w:val="clear" w:color="auto" w:fill="FFFFFF"/>
        <w:ind w:left="390"/>
        <w:jc w:val="left"/>
        <w:textAlignment w:val="center"/>
        <w:rPr>
          <w:rFonts w:ascii="Arial" w:hAnsi="Arial" w:cs="Arial"/>
          <w:color w:val="323232"/>
          <w:szCs w:val="21"/>
        </w:rPr>
      </w:pPr>
      <w:r>
        <w:rPr>
          <w:rFonts w:ascii="Arial" w:hAnsi="Arial" w:cs="Arial"/>
          <w:color w:val="000000"/>
          <w:sz w:val="42"/>
          <w:szCs w:val="42"/>
          <w:bdr w:val="none" w:sz="0" w:space="0" w:color="auto" w:frame="1"/>
        </w:rPr>
        <w:t>新富资本</w:t>
      </w:r>
      <w:r>
        <w:rPr>
          <w:rFonts w:ascii="Arial" w:hAnsi="Arial" w:cs="Arial"/>
          <w:color w:val="000000"/>
          <w:sz w:val="42"/>
          <w:szCs w:val="42"/>
          <w:bdr w:val="none" w:sz="0" w:space="0" w:color="auto" w:frame="1"/>
        </w:rPr>
        <w:t>·</w:t>
      </w:r>
      <w:r>
        <w:rPr>
          <w:rFonts w:ascii="Arial" w:hAnsi="Arial" w:cs="Arial"/>
          <w:color w:val="000000"/>
          <w:sz w:val="42"/>
          <w:szCs w:val="42"/>
          <w:bdr w:val="none" w:sz="0" w:space="0" w:color="auto" w:frame="1"/>
        </w:rPr>
        <w:t>光大银行</w:t>
      </w:r>
      <w:r>
        <w:rPr>
          <w:rFonts w:ascii="Arial" w:hAnsi="Arial" w:cs="Arial"/>
          <w:color w:val="000000"/>
          <w:sz w:val="42"/>
          <w:szCs w:val="42"/>
          <w:bdr w:val="none" w:sz="0" w:space="0" w:color="auto" w:frame="1"/>
        </w:rPr>
        <w:t>-</w:t>
      </w:r>
      <w:r>
        <w:rPr>
          <w:rFonts w:ascii="Arial" w:hAnsi="Arial" w:cs="Arial"/>
          <w:color w:val="000000"/>
          <w:sz w:val="42"/>
          <w:szCs w:val="42"/>
          <w:bdr w:val="none" w:sz="0" w:space="0" w:color="auto" w:frame="1"/>
        </w:rPr>
        <w:t>对冲套利投资基金</w:t>
      </w:r>
      <w:r>
        <w:rPr>
          <w:rFonts w:ascii="Arial" w:hAnsi="Arial" w:cs="Arial"/>
          <w:color w:val="000000"/>
          <w:sz w:val="42"/>
          <w:szCs w:val="42"/>
          <w:bdr w:val="none" w:sz="0" w:space="0" w:color="auto" w:frame="1"/>
        </w:rPr>
        <w:t xml:space="preserve">  </w:t>
      </w:r>
      <w:r>
        <w:rPr>
          <w:rStyle w:val="apple-converted-space"/>
          <w:rFonts w:ascii="Arial" w:hAnsi="Arial" w:cs="Arial"/>
          <w:color w:val="000000"/>
          <w:sz w:val="42"/>
          <w:szCs w:val="42"/>
          <w:bdr w:val="none" w:sz="0" w:space="0" w:color="auto" w:frame="1"/>
        </w:rPr>
        <w:t> </w:t>
      </w:r>
      <w:r>
        <w:rPr>
          <w:rFonts w:ascii="Arial" w:hAnsi="Arial" w:cs="Arial"/>
          <w:noProof/>
          <w:color w:val="323232"/>
          <w:szCs w:val="21"/>
        </w:rPr>
        <w:drawing>
          <wp:inline distT="0" distB="0" distL="0" distR="0">
            <wp:extent cx="361950" cy="190500"/>
            <wp:effectExtent l="19050" t="0" r="0" b="0"/>
            <wp:docPr id="10" name="图片 10" descr="http://www.sunfo88.com/statics/images/product_sell_ou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sunfo88.com/statics/images/product_sell_out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2099" w:rsidRDefault="00632099" w:rsidP="00CF7CF0">
      <w:pPr>
        <w:widowControl/>
        <w:numPr>
          <w:ilvl w:val="0"/>
          <w:numId w:val="2"/>
        </w:numPr>
        <w:shd w:val="clear" w:color="auto" w:fill="FFFFFF"/>
        <w:ind w:left="0"/>
        <w:jc w:val="left"/>
        <w:textAlignment w:val="center"/>
        <w:rPr>
          <w:rFonts w:ascii="Arial" w:hAnsi="Arial" w:cs="Arial"/>
          <w:color w:val="323232"/>
          <w:szCs w:val="21"/>
        </w:rPr>
      </w:pPr>
      <w:hyperlink r:id="rId8" w:anchor="basic_info_modian" w:history="1">
        <w:r>
          <w:rPr>
            <w:rStyle w:val="a9"/>
            <w:rFonts w:ascii="Arial" w:hAnsi="Arial" w:cs="Arial"/>
            <w:color w:val="323232"/>
            <w:sz w:val="22"/>
            <w:bdr w:val="none" w:sz="0" w:space="0" w:color="auto" w:frame="1"/>
          </w:rPr>
          <w:t>基本信息</w:t>
        </w:r>
      </w:hyperlink>
      <w:hyperlink r:id="rId9" w:anchor="risk_maodian" w:history="1">
        <w:r>
          <w:rPr>
            <w:rStyle w:val="a9"/>
            <w:rFonts w:ascii="Arial" w:hAnsi="Arial" w:cs="Arial"/>
            <w:color w:val="323232"/>
            <w:sz w:val="22"/>
            <w:bdr w:val="none" w:sz="0" w:space="0" w:color="auto" w:frame="1"/>
          </w:rPr>
          <w:t>风控安全</w:t>
        </w:r>
      </w:hyperlink>
      <w:hyperlink r:id="rId10" w:anchor="program_maodian" w:history="1">
        <w:r>
          <w:rPr>
            <w:rStyle w:val="a9"/>
            <w:rFonts w:ascii="Arial" w:hAnsi="Arial" w:cs="Arial"/>
            <w:color w:val="323232"/>
            <w:sz w:val="22"/>
            <w:bdr w:val="none" w:sz="0" w:space="0" w:color="auto" w:frame="1"/>
          </w:rPr>
          <w:t>项目特色</w:t>
        </w:r>
      </w:hyperlink>
      <w:r>
        <w:rPr>
          <w:rStyle w:val="apple-converted-space"/>
          <w:rFonts w:ascii="Arial" w:hAnsi="Arial" w:cs="Arial"/>
          <w:color w:val="323232"/>
          <w:szCs w:val="21"/>
        </w:rPr>
        <w:t> </w:t>
      </w:r>
      <w:hyperlink r:id="rId11" w:anchor="info_maodian" w:history="1">
        <w:r>
          <w:rPr>
            <w:rStyle w:val="a9"/>
            <w:rFonts w:ascii="Arial" w:hAnsi="Arial" w:cs="Arial"/>
            <w:color w:val="323232"/>
            <w:sz w:val="22"/>
            <w:bdr w:val="none" w:sz="0" w:space="0" w:color="auto" w:frame="1"/>
          </w:rPr>
          <w:t>付息公告</w:t>
        </w:r>
      </w:hyperlink>
    </w:p>
    <w:p w:rsidR="00632099" w:rsidRDefault="00632099" w:rsidP="00632099">
      <w:pPr>
        <w:shd w:val="clear" w:color="auto" w:fill="FFFFFF"/>
        <w:rPr>
          <w:rFonts w:ascii="Arial" w:hAnsi="Arial" w:cs="Arial"/>
          <w:color w:val="323232"/>
          <w:szCs w:val="21"/>
        </w:rPr>
      </w:pPr>
      <w:hyperlink r:id="rId12" w:history="1">
        <w:r>
          <w:rPr>
            <w:rStyle w:val="view-detail"/>
            <w:rFonts w:ascii="Arial" w:hAnsi="Arial" w:cs="Arial"/>
            <w:color w:val="000000"/>
            <w:sz w:val="18"/>
            <w:szCs w:val="18"/>
            <w:bdr w:val="none" w:sz="0" w:space="0" w:color="auto" w:frame="1"/>
            <w:shd w:val="clear" w:color="auto" w:fill="E5E5E5"/>
          </w:rPr>
          <w:t>查看更多产品</w:t>
        </w:r>
      </w:hyperlink>
    </w:p>
    <w:p w:rsidR="00632099" w:rsidRDefault="00632099" w:rsidP="00CF7CF0">
      <w:pPr>
        <w:widowControl/>
        <w:numPr>
          <w:ilvl w:val="0"/>
          <w:numId w:val="3"/>
        </w:numPr>
        <w:shd w:val="clear" w:color="auto" w:fill="FFFFFF"/>
        <w:ind w:left="0"/>
        <w:jc w:val="left"/>
        <w:textAlignment w:val="center"/>
        <w:rPr>
          <w:rFonts w:ascii="Arial" w:hAnsi="Arial" w:cs="Arial"/>
          <w:color w:val="323232"/>
          <w:szCs w:val="21"/>
        </w:rPr>
      </w:pPr>
      <w:r>
        <w:rPr>
          <w:rFonts w:ascii="Arial" w:hAnsi="Arial" w:cs="Arial"/>
          <w:noProof/>
          <w:color w:val="323232"/>
          <w:szCs w:val="21"/>
        </w:rPr>
        <w:drawing>
          <wp:inline distT="0" distB="0" distL="0" distR="0">
            <wp:extent cx="9505950" cy="76200"/>
            <wp:effectExtent l="19050" t="0" r="0" b="0"/>
            <wp:docPr id="11" name="图片 11" descr="http://www.sunfo88.com/statics/images/headerStra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sunfo88.com/statics/images/headerStrap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5950" cy="7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5000" w:type="dxa"/>
        <w:tblCellSpacing w:w="0" w:type="dxa"/>
        <w:tblBorders>
          <w:top w:val="single" w:sz="2" w:space="0" w:color="3F3A3D"/>
          <w:left w:val="single" w:sz="2" w:space="0" w:color="3F3A3D"/>
          <w:bottom w:val="single" w:sz="2" w:space="0" w:color="3F3A3D"/>
          <w:right w:val="single" w:sz="2" w:space="0" w:color="3F3A3D"/>
        </w:tblBorders>
        <w:tblCellMar>
          <w:left w:w="0" w:type="dxa"/>
          <w:right w:w="0" w:type="dxa"/>
        </w:tblCellMar>
        <w:tblLook w:val="04A0"/>
      </w:tblPr>
      <w:tblGrid>
        <w:gridCol w:w="156"/>
        <w:gridCol w:w="1740"/>
        <w:gridCol w:w="8081"/>
        <w:gridCol w:w="4870"/>
        <w:gridCol w:w="153"/>
      </w:tblGrid>
      <w:tr w:rsidR="00632099" w:rsidTr="00632099">
        <w:trPr>
          <w:gridAfter w:val="1"/>
          <w:trHeight w:val="480"/>
          <w:tblCellSpacing w:w="0" w:type="dxa"/>
        </w:trPr>
        <w:tc>
          <w:tcPr>
            <w:tcW w:w="1935" w:type="dxa"/>
            <w:gridSpan w:val="2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tcMar>
              <w:top w:w="0" w:type="dxa"/>
              <w:left w:w="188" w:type="dxa"/>
              <w:bottom w:w="0" w:type="dxa"/>
              <w:right w:w="0" w:type="dxa"/>
            </w:tcMar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b/>
                <w:bCs/>
                <w:szCs w:val="21"/>
                <w:bdr w:val="none" w:sz="0" w:space="0" w:color="auto" w:frame="1"/>
              </w:rPr>
              <w:t>发行机构：</w:t>
            </w:r>
          </w:p>
        </w:tc>
        <w:tc>
          <w:tcPr>
            <w:tcW w:w="8250" w:type="dxa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szCs w:val="21"/>
              </w:rPr>
              <w:t>深圳前海新富资本管理集团</w:t>
            </w:r>
          </w:p>
        </w:tc>
        <w:tc>
          <w:tcPr>
            <w:tcW w:w="0" w:type="auto"/>
            <w:vMerge w:val="restart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hideMark/>
          </w:tcPr>
          <w:p w:rsidR="00632099" w:rsidRDefault="00632099">
            <w:pPr>
              <w:jc w:val="right"/>
              <w:rPr>
                <w:rFonts w:ascii="宋体" w:eastAsia="宋体" w:hAnsi="宋体" w:cs="宋体"/>
                <w:szCs w:val="21"/>
              </w:rPr>
            </w:pPr>
            <w:r>
              <w:rPr>
                <w:noProof/>
                <w:szCs w:val="21"/>
              </w:rPr>
              <w:drawing>
                <wp:inline distT="0" distB="0" distL="0" distR="0">
                  <wp:extent cx="3067050" cy="2638425"/>
                  <wp:effectExtent l="19050" t="0" r="0" b="0"/>
                  <wp:docPr id="12" name="图片 12" descr="http://www.sunfo88.com/upload/images/p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sunfo88.com/upload/images/p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7050" cy="2638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2099" w:rsidTr="00632099">
        <w:trPr>
          <w:gridAfter w:val="1"/>
          <w:trHeight w:val="480"/>
          <w:tblCellSpacing w:w="0" w:type="dxa"/>
        </w:trPr>
        <w:tc>
          <w:tcPr>
            <w:tcW w:w="1935" w:type="dxa"/>
            <w:gridSpan w:val="2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tcMar>
              <w:top w:w="0" w:type="dxa"/>
              <w:left w:w="188" w:type="dxa"/>
              <w:bottom w:w="0" w:type="dxa"/>
              <w:right w:w="0" w:type="dxa"/>
            </w:tcMar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b/>
                <w:bCs/>
                <w:szCs w:val="21"/>
                <w:bdr w:val="none" w:sz="0" w:space="0" w:color="auto" w:frame="1"/>
              </w:rPr>
              <w:t>收益率：</w:t>
            </w:r>
          </w:p>
        </w:tc>
        <w:tc>
          <w:tcPr>
            <w:tcW w:w="8250" w:type="dxa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szCs w:val="21"/>
              </w:rPr>
              <w:t>7%+</w:t>
            </w:r>
            <w:r>
              <w:rPr>
                <w:szCs w:val="21"/>
              </w:rPr>
              <w:t>浮动收益（享受基金超额收益的</w:t>
            </w:r>
            <w:r>
              <w:rPr>
                <w:szCs w:val="21"/>
              </w:rPr>
              <w:t>30%</w:t>
            </w:r>
            <w:r>
              <w:rPr>
                <w:szCs w:val="21"/>
              </w:rPr>
              <w:t>）</w:t>
            </w:r>
          </w:p>
        </w:tc>
        <w:tc>
          <w:tcPr>
            <w:tcW w:w="0" w:type="auto"/>
            <w:vMerge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632099" w:rsidTr="00632099">
        <w:trPr>
          <w:gridAfter w:val="1"/>
          <w:trHeight w:val="480"/>
          <w:tblCellSpacing w:w="0" w:type="dxa"/>
        </w:trPr>
        <w:tc>
          <w:tcPr>
            <w:tcW w:w="1935" w:type="dxa"/>
            <w:gridSpan w:val="2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tcMar>
              <w:top w:w="0" w:type="dxa"/>
              <w:left w:w="188" w:type="dxa"/>
              <w:bottom w:w="0" w:type="dxa"/>
              <w:right w:w="0" w:type="dxa"/>
            </w:tcMar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b/>
                <w:bCs/>
                <w:szCs w:val="21"/>
                <w:bdr w:val="none" w:sz="0" w:space="0" w:color="auto" w:frame="1"/>
              </w:rPr>
              <w:t>产品名称：</w:t>
            </w:r>
          </w:p>
        </w:tc>
        <w:tc>
          <w:tcPr>
            <w:tcW w:w="8250" w:type="dxa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szCs w:val="21"/>
              </w:rPr>
              <w:t>新富资本</w:t>
            </w:r>
            <w:r>
              <w:rPr>
                <w:szCs w:val="21"/>
              </w:rPr>
              <w:t>·</w:t>
            </w:r>
            <w:r>
              <w:rPr>
                <w:szCs w:val="21"/>
              </w:rPr>
              <w:t>光大银行</w:t>
            </w:r>
            <w:r>
              <w:rPr>
                <w:szCs w:val="21"/>
              </w:rPr>
              <w:t>-</w:t>
            </w:r>
            <w:r>
              <w:rPr>
                <w:szCs w:val="21"/>
              </w:rPr>
              <w:t>对冲套利投资基金</w:t>
            </w:r>
          </w:p>
        </w:tc>
        <w:tc>
          <w:tcPr>
            <w:tcW w:w="0" w:type="auto"/>
            <w:vMerge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632099" w:rsidTr="00632099">
        <w:trPr>
          <w:gridAfter w:val="1"/>
          <w:trHeight w:val="480"/>
          <w:tblCellSpacing w:w="0" w:type="dxa"/>
        </w:trPr>
        <w:tc>
          <w:tcPr>
            <w:tcW w:w="1935" w:type="dxa"/>
            <w:gridSpan w:val="2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tcMar>
              <w:top w:w="0" w:type="dxa"/>
              <w:left w:w="188" w:type="dxa"/>
              <w:bottom w:w="0" w:type="dxa"/>
              <w:right w:w="0" w:type="dxa"/>
            </w:tcMar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b/>
                <w:bCs/>
                <w:szCs w:val="21"/>
                <w:bdr w:val="none" w:sz="0" w:space="0" w:color="auto" w:frame="1"/>
              </w:rPr>
              <w:t>募集规模：</w:t>
            </w:r>
          </w:p>
        </w:tc>
        <w:tc>
          <w:tcPr>
            <w:tcW w:w="8250" w:type="dxa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szCs w:val="21"/>
              </w:rPr>
              <w:t>亿元</w:t>
            </w:r>
          </w:p>
        </w:tc>
        <w:tc>
          <w:tcPr>
            <w:tcW w:w="0" w:type="auto"/>
            <w:vMerge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632099" w:rsidTr="00632099">
        <w:trPr>
          <w:gridAfter w:val="1"/>
          <w:trHeight w:val="480"/>
          <w:tblCellSpacing w:w="0" w:type="dxa"/>
        </w:trPr>
        <w:tc>
          <w:tcPr>
            <w:tcW w:w="1935" w:type="dxa"/>
            <w:gridSpan w:val="2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tcMar>
              <w:top w:w="0" w:type="dxa"/>
              <w:left w:w="188" w:type="dxa"/>
              <w:bottom w:w="0" w:type="dxa"/>
              <w:right w:w="0" w:type="dxa"/>
            </w:tcMar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b/>
                <w:bCs/>
                <w:szCs w:val="21"/>
                <w:bdr w:val="none" w:sz="0" w:space="0" w:color="auto" w:frame="1"/>
              </w:rPr>
              <w:t>产品期限：</w:t>
            </w:r>
          </w:p>
        </w:tc>
        <w:tc>
          <w:tcPr>
            <w:tcW w:w="8250" w:type="dxa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szCs w:val="21"/>
              </w:rPr>
              <w:t>12</w:t>
            </w:r>
            <w:r>
              <w:rPr>
                <w:szCs w:val="21"/>
              </w:rPr>
              <w:t>月</w:t>
            </w:r>
          </w:p>
        </w:tc>
        <w:tc>
          <w:tcPr>
            <w:tcW w:w="0" w:type="auto"/>
            <w:vMerge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632099" w:rsidTr="00632099">
        <w:trPr>
          <w:gridAfter w:val="1"/>
          <w:trHeight w:val="480"/>
          <w:tblCellSpacing w:w="0" w:type="dxa"/>
        </w:trPr>
        <w:tc>
          <w:tcPr>
            <w:tcW w:w="1935" w:type="dxa"/>
            <w:gridSpan w:val="2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tcMar>
              <w:top w:w="0" w:type="dxa"/>
              <w:left w:w="188" w:type="dxa"/>
              <w:bottom w:w="0" w:type="dxa"/>
              <w:right w:w="0" w:type="dxa"/>
            </w:tcMar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b/>
                <w:bCs/>
                <w:szCs w:val="21"/>
                <w:bdr w:val="none" w:sz="0" w:space="0" w:color="auto" w:frame="1"/>
              </w:rPr>
              <w:t>投资门槛：</w:t>
            </w:r>
          </w:p>
        </w:tc>
        <w:tc>
          <w:tcPr>
            <w:tcW w:w="8250" w:type="dxa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szCs w:val="21"/>
              </w:rPr>
              <w:t>50</w:t>
            </w:r>
            <w:r>
              <w:rPr>
                <w:szCs w:val="21"/>
              </w:rPr>
              <w:t>万元</w:t>
            </w:r>
          </w:p>
        </w:tc>
        <w:tc>
          <w:tcPr>
            <w:tcW w:w="0" w:type="auto"/>
            <w:vMerge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632099" w:rsidTr="00632099">
        <w:trPr>
          <w:gridAfter w:val="1"/>
          <w:trHeight w:val="480"/>
          <w:tblCellSpacing w:w="0" w:type="dxa"/>
        </w:trPr>
        <w:tc>
          <w:tcPr>
            <w:tcW w:w="1935" w:type="dxa"/>
            <w:gridSpan w:val="2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tcMar>
              <w:top w:w="0" w:type="dxa"/>
              <w:left w:w="188" w:type="dxa"/>
              <w:bottom w:w="0" w:type="dxa"/>
              <w:right w:w="0" w:type="dxa"/>
            </w:tcMar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b/>
                <w:bCs/>
                <w:szCs w:val="21"/>
                <w:bdr w:val="none" w:sz="0" w:space="0" w:color="auto" w:frame="1"/>
              </w:rPr>
              <w:t>发售期：</w:t>
            </w:r>
          </w:p>
        </w:tc>
        <w:tc>
          <w:tcPr>
            <w:tcW w:w="8250" w:type="dxa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szCs w:val="21"/>
              </w:rPr>
              <w:t>2014-05-05  </w:t>
            </w:r>
            <w:r>
              <w:rPr>
                <w:szCs w:val="21"/>
              </w:rPr>
              <w:t>至</w:t>
            </w:r>
            <w:r>
              <w:rPr>
                <w:szCs w:val="21"/>
              </w:rPr>
              <w:t>  2014-05-23  </w:t>
            </w:r>
          </w:p>
        </w:tc>
        <w:tc>
          <w:tcPr>
            <w:tcW w:w="0" w:type="auto"/>
            <w:vMerge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632099" w:rsidTr="00632099">
        <w:trPr>
          <w:gridAfter w:val="1"/>
          <w:trHeight w:val="480"/>
          <w:tblCellSpacing w:w="0" w:type="dxa"/>
        </w:trPr>
        <w:tc>
          <w:tcPr>
            <w:tcW w:w="1935" w:type="dxa"/>
            <w:gridSpan w:val="2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tcMar>
              <w:top w:w="0" w:type="dxa"/>
              <w:left w:w="188" w:type="dxa"/>
              <w:bottom w:w="0" w:type="dxa"/>
              <w:right w:w="0" w:type="dxa"/>
            </w:tcMar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b/>
                <w:bCs/>
                <w:szCs w:val="21"/>
                <w:bdr w:val="none" w:sz="0" w:space="0" w:color="auto" w:frame="1"/>
              </w:rPr>
              <w:t>收益付息说明：</w:t>
            </w:r>
          </w:p>
        </w:tc>
        <w:tc>
          <w:tcPr>
            <w:tcW w:w="8250" w:type="dxa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hideMark/>
          </w:tcPr>
          <w:p w:rsidR="00632099" w:rsidRDefault="00632099">
            <w:pPr>
              <w:pStyle w:val="a6"/>
              <w:spacing w:before="0" w:beforeAutospacing="0" w:after="0" w:afterAutospacing="0" w:line="444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每季度返还固定收益，到期一次性享受浮动收益部分</w:t>
            </w:r>
          </w:p>
        </w:tc>
        <w:tc>
          <w:tcPr>
            <w:tcW w:w="0" w:type="auto"/>
            <w:vMerge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632099" w:rsidTr="00632099">
        <w:trPr>
          <w:gridAfter w:val="1"/>
          <w:trHeight w:val="390"/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0" w:type="auto"/>
            <w:vAlign w:val="center"/>
            <w:hideMark/>
          </w:tcPr>
          <w:p w:rsidR="00632099" w:rsidRDefault="0063209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32099" w:rsidRDefault="0063209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32099" w:rsidTr="00632099">
        <w:trPr>
          <w:gridAfter w:val="1"/>
          <w:trHeight w:val="480"/>
          <w:tblCellSpacing w:w="0" w:type="dxa"/>
        </w:trPr>
        <w:tc>
          <w:tcPr>
            <w:tcW w:w="1935" w:type="dxa"/>
            <w:gridSpan w:val="2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tcMar>
              <w:top w:w="0" w:type="dxa"/>
              <w:left w:w="188" w:type="dxa"/>
              <w:bottom w:w="0" w:type="dxa"/>
              <w:right w:w="0" w:type="dxa"/>
            </w:tcMar>
            <w:hideMark/>
          </w:tcPr>
          <w:p w:rsidR="00632099" w:rsidRDefault="00632099">
            <w:pPr>
              <w:spacing w:line="432" w:lineRule="atLeast"/>
              <w:rPr>
                <w:rFonts w:ascii="宋体" w:eastAsia="宋体" w:hAnsi="宋体" w:cs="宋体"/>
                <w:szCs w:val="21"/>
              </w:rPr>
            </w:pPr>
            <w:r>
              <w:rPr>
                <w:b/>
                <w:bCs/>
                <w:szCs w:val="21"/>
                <w:bdr w:val="none" w:sz="0" w:space="0" w:color="auto" w:frame="1"/>
              </w:rPr>
              <w:t>投资方向：</w:t>
            </w:r>
          </w:p>
        </w:tc>
        <w:tc>
          <w:tcPr>
            <w:tcW w:w="0" w:type="auto"/>
            <w:gridSpan w:val="2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hideMark/>
          </w:tcPr>
          <w:p w:rsidR="00632099" w:rsidRDefault="00632099">
            <w:pPr>
              <w:pStyle w:val="a6"/>
              <w:spacing w:before="0" w:beforeAutospacing="0" w:after="0" w:afterAutospacing="0" w:line="444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股票、债券、证券投资基金、金融衍生品以及中国证监会认可的其他投资品种，具体以委托人约定为准</w:t>
            </w:r>
          </w:p>
        </w:tc>
      </w:tr>
      <w:tr w:rsidR="00632099" w:rsidTr="00632099">
        <w:tblPrEx>
          <w:tblCellSpacing w:w="15" w:type="dxa"/>
        </w:tblPrEx>
        <w:trPr>
          <w:gridBefore w:val="1"/>
          <w:gridAfter w:val="1"/>
          <w:wBefore w:w="158" w:type="dxa"/>
          <w:tblCellSpacing w:w="15" w:type="dxa"/>
        </w:trPr>
        <w:tc>
          <w:tcPr>
            <w:tcW w:w="14910" w:type="dxa"/>
            <w:gridSpan w:val="3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632099" w:rsidTr="00632099">
        <w:tblPrEx>
          <w:tblCellSpacing w:w="15" w:type="dxa"/>
        </w:tblPrEx>
        <w:trPr>
          <w:gridBefore w:val="1"/>
          <w:wBefore w:w="158" w:type="dxa"/>
          <w:tblCellSpacing w:w="15" w:type="dxa"/>
        </w:trPr>
        <w:tc>
          <w:tcPr>
            <w:tcW w:w="0" w:type="auto"/>
            <w:gridSpan w:val="4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vAlign w:val="center"/>
            <w:hideMark/>
          </w:tcPr>
          <w:p w:rsidR="00632099" w:rsidRDefault="00632099" w:rsidP="00632099">
            <w:pPr>
              <w:pStyle w:val="a6"/>
              <w:spacing w:before="0" w:beforeAutospacing="0" w:after="0" w:afterAutospacing="0"/>
            </w:pPr>
            <w:r>
              <w:rPr>
                <w:rFonts w:ascii="微软雅黑" w:eastAsia="微软雅黑" w:hAnsi="微软雅黑" w:hint="eastAsia"/>
                <w:sz w:val="21"/>
                <w:szCs w:val="21"/>
                <w:bdr w:val="none" w:sz="0" w:space="0" w:color="auto" w:frame="1"/>
              </w:rPr>
              <w:t>1.专业投资管理机构选中稳健的投资策略(市场中性策略)，设置预警线和警戒线，严格控制投资范围，保障基金的安全运作</w:t>
            </w:r>
          </w:p>
          <w:p w:rsidR="00632099" w:rsidRDefault="00632099" w:rsidP="00632099">
            <w:pPr>
              <w:pStyle w:val="a6"/>
              <w:spacing w:before="0" w:beforeAutospacing="0" w:after="0" w:afterAutospacing="0"/>
            </w:pPr>
            <w:r>
              <w:t> </w:t>
            </w:r>
          </w:p>
          <w:p w:rsidR="00632099" w:rsidRDefault="00632099" w:rsidP="00632099">
            <w:pPr>
              <w:pStyle w:val="a6"/>
              <w:spacing w:before="0" w:beforeAutospacing="0" w:after="0" w:afterAutospacing="0"/>
            </w:pPr>
            <w:r>
              <w:rPr>
                <w:rFonts w:ascii="微软雅黑" w:eastAsia="微软雅黑" w:hAnsi="微软雅黑" w:hint="eastAsia"/>
                <w:sz w:val="21"/>
                <w:szCs w:val="21"/>
                <w:bdr w:val="none" w:sz="0" w:space="0" w:color="auto" w:frame="1"/>
              </w:rPr>
              <w:t>2.大型银行理财资金池参与、证券公司、期货公司、资产管理公司、投资顾问公司、基金管理人多重监管与控制</w:t>
            </w:r>
          </w:p>
          <w:p w:rsidR="00632099" w:rsidRDefault="00632099" w:rsidP="00632099">
            <w:pPr>
              <w:pStyle w:val="a6"/>
              <w:spacing w:before="0" w:beforeAutospacing="0" w:after="0" w:afterAutospacing="0"/>
            </w:pPr>
            <w:r>
              <w:t> </w:t>
            </w:r>
          </w:p>
          <w:p w:rsidR="00632099" w:rsidRDefault="00632099" w:rsidP="00632099">
            <w:pPr>
              <w:pStyle w:val="a6"/>
              <w:spacing w:before="0" w:beforeAutospacing="0" w:after="0" w:afterAutospacing="0"/>
            </w:pPr>
            <w:r>
              <w:rPr>
                <w:rFonts w:ascii="微软雅黑" w:eastAsia="微软雅黑" w:hAnsi="微软雅黑" w:hint="eastAsia"/>
                <w:sz w:val="21"/>
                <w:szCs w:val="21"/>
                <w:bdr w:val="none" w:sz="0" w:space="0" w:color="auto" w:frame="1"/>
              </w:rPr>
              <w:t>3.新富资本为有限合伙人固定回报签署回购协议，为有限合伙人本息安全提供安全保障</w:t>
            </w:r>
          </w:p>
          <w:p w:rsidR="00632099" w:rsidRDefault="00632099" w:rsidP="00632099">
            <w:pPr>
              <w:pStyle w:val="a6"/>
              <w:spacing w:before="0" w:beforeAutospacing="0" w:after="0" w:afterAutospacing="0"/>
            </w:pPr>
            <w:r>
              <w:t> </w:t>
            </w:r>
          </w:p>
          <w:p w:rsidR="00632099" w:rsidRDefault="00632099" w:rsidP="00632099">
            <w:pPr>
              <w:pStyle w:val="a6"/>
              <w:spacing w:before="0" w:beforeAutospacing="0" w:after="0" w:afterAutospacing="0"/>
            </w:pPr>
            <w:r>
              <w:rPr>
                <w:rFonts w:ascii="微软雅黑" w:eastAsia="微软雅黑" w:hAnsi="微软雅黑" w:hint="eastAsia"/>
                <w:sz w:val="21"/>
                <w:szCs w:val="21"/>
                <w:bdr w:val="none" w:sz="0" w:space="0" w:color="auto" w:frame="1"/>
              </w:rPr>
              <w:t>4.基金管理人认缴基金份额的20%作为劣后资金，为投资者本息安全提供保证金</w:t>
            </w:r>
          </w:p>
          <w:p w:rsidR="00632099" w:rsidRDefault="00632099">
            <w:pPr>
              <w:pStyle w:val="a6"/>
              <w:spacing w:before="0" w:beforeAutospacing="0" w:after="0" w:afterAutospacing="0"/>
            </w:pPr>
            <w:r>
              <w:t> </w:t>
            </w:r>
          </w:p>
        </w:tc>
      </w:tr>
    </w:tbl>
    <w:p w:rsidR="00632099" w:rsidRDefault="00632099" w:rsidP="00632099">
      <w:pPr>
        <w:shd w:val="clear" w:color="auto" w:fill="FFFFFF"/>
        <w:rPr>
          <w:rFonts w:ascii="Arial" w:hAnsi="Arial" w:cs="Arial"/>
          <w:vanish/>
          <w:color w:val="323232"/>
          <w:szCs w:val="21"/>
        </w:rPr>
      </w:pPr>
    </w:p>
    <w:tbl>
      <w:tblPr>
        <w:tblW w:w="15000" w:type="dxa"/>
        <w:tblCellSpacing w:w="15" w:type="dxa"/>
        <w:tblBorders>
          <w:top w:val="single" w:sz="2" w:space="0" w:color="3F3A3D"/>
          <w:left w:val="single" w:sz="2" w:space="0" w:color="3F3A3D"/>
          <w:bottom w:val="single" w:sz="2" w:space="0" w:color="3F3A3D"/>
          <w:right w:val="single" w:sz="2" w:space="0" w:color="3F3A3D"/>
        </w:tblBorders>
        <w:tblCellMar>
          <w:left w:w="0" w:type="dxa"/>
          <w:right w:w="0" w:type="dxa"/>
        </w:tblCellMar>
        <w:tblLook w:val="04A0"/>
      </w:tblPr>
      <w:tblGrid>
        <w:gridCol w:w="14955"/>
        <w:gridCol w:w="45"/>
      </w:tblGrid>
      <w:tr w:rsidR="00632099" w:rsidTr="00632099">
        <w:trPr>
          <w:gridAfter w:val="1"/>
          <w:tblCellSpacing w:w="15" w:type="dxa"/>
        </w:trPr>
        <w:tc>
          <w:tcPr>
            <w:tcW w:w="14910" w:type="dxa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vAlign w:val="center"/>
            <w:hideMark/>
          </w:tcPr>
          <w:p w:rsidR="00632099" w:rsidRDefault="00632099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632099" w:rsidTr="00632099">
        <w:trPr>
          <w:tblCellSpacing w:w="15" w:type="dxa"/>
        </w:trPr>
        <w:tc>
          <w:tcPr>
            <w:tcW w:w="0" w:type="auto"/>
            <w:gridSpan w:val="2"/>
            <w:tcBorders>
              <w:top w:val="single" w:sz="2" w:space="0" w:color="3F3A3D"/>
              <w:left w:val="single" w:sz="2" w:space="0" w:color="3F3A3D"/>
              <w:bottom w:val="single" w:sz="2" w:space="0" w:color="3F3A3D"/>
              <w:right w:val="single" w:sz="2" w:space="0" w:color="3F3A3D"/>
            </w:tcBorders>
            <w:vAlign w:val="center"/>
            <w:hideMark/>
          </w:tcPr>
          <w:p w:rsidR="00632099" w:rsidRDefault="00632099">
            <w:pPr>
              <w:pStyle w:val="a6"/>
              <w:spacing w:before="0" w:beforeAutospacing="0" w:after="0" w:afterAutospacing="0"/>
            </w:pPr>
            <w:r>
              <w:rPr>
                <w:rFonts w:ascii="微软雅黑" w:eastAsia="微软雅黑" w:hAnsi="微软雅黑" w:hint="eastAsia"/>
                <w:sz w:val="21"/>
                <w:szCs w:val="21"/>
                <w:bdr w:val="none" w:sz="0" w:space="0" w:color="auto" w:frame="1"/>
              </w:rPr>
              <w:t>前沿性：采用行业前沿的对冲套利交易策略，打造私募市场新范式，挖掘市场潜力，开拓盈利空间，实现具有前瞻性的盈利模式</w:t>
            </w:r>
          </w:p>
          <w:p w:rsidR="00632099" w:rsidRDefault="00632099">
            <w:pPr>
              <w:pStyle w:val="a6"/>
              <w:spacing w:before="0" w:beforeAutospacing="0" w:after="0" w:afterAutospacing="0"/>
            </w:pPr>
            <w:r>
              <w:t> </w:t>
            </w:r>
          </w:p>
          <w:p w:rsidR="00632099" w:rsidRDefault="00632099">
            <w:pPr>
              <w:pStyle w:val="a6"/>
              <w:spacing w:before="0" w:beforeAutospacing="0" w:after="0" w:afterAutospacing="0"/>
            </w:pPr>
            <w:r>
              <w:rPr>
                <w:rFonts w:ascii="微软雅黑" w:eastAsia="微软雅黑" w:hAnsi="微软雅黑" w:hint="eastAsia"/>
                <w:sz w:val="21"/>
                <w:szCs w:val="21"/>
                <w:bdr w:val="none" w:sz="0" w:space="0" w:color="auto" w:frame="1"/>
              </w:rPr>
              <w:t>专业性：多家专业大型金融机构(知名银行、券商、期货公司)共同参与，精英投研团队运营管理，理论功底扎实、操作经验丰富、电子系统先进高效</w:t>
            </w:r>
          </w:p>
          <w:p w:rsidR="00632099" w:rsidRDefault="00632099">
            <w:pPr>
              <w:pStyle w:val="a6"/>
              <w:spacing w:before="0" w:beforeAutospacing="0" w:after="0" w:afterAutospacing="0"/>
            </w:pPr>
            <w:r>
              <w:t> </w:t>
            </w:r>
          </w:p>
          <w:p w:rsidR="00632099" w:rsidRDefault="00632099">
            <w:pPr>
              <w:pStyle w:val="a6"/>
              <w:spacing w:before="0" w:beforeAutospacing="0" w:after="0" w:afterAutospacing="0"/>
            </w:pPr>
            <w:r>
              <w:rPr>
                <w:rFonts w:ascii="微软雅黑" w:eastAsia="微软雅黑" w:hAnsi="微软雅黑" w:hint="eastAsia"/>
                <w:sz w:val="21"/>
                <w:szCs w:val="21"/>
                <w:bdr w:val="none" w:sz="0" w:space="0" w:color="auto" w:frame="1"/>
              </w:rPr>
              <w:t>安全性：风控措施扎实可靠，操作风格务实稳健，严格限制投资范围，强有力预警线和止损线保证基金运作安全，交易架构加入劣后资金和回购承诺进一步保障基金安全</w:t>
            </w:r>
          </w:p>
          <w:p w:rsidR="00632099" w:rsidRDefault="00632099">
            <w:pPr>
              <w:pStyle w:val="a6"/>
              <w:spacing w:before="0" w:beforeAutospacing="0" w:after="0" w:afterAutospacing="0"/>
            </w:pPr>
            <w:r>
              <w:t> </w:t>
            </w:r>
          </w:p>
          <w:p w:rsidR="00632099" w:rsidRDefault="00632099">
            <w:pPr>
              <w:pStyle w:val="a6"/>
              <w:spacing w:before="0" w:beforeAutospacing="0" w:after="0" w:afterAutospacing="0"/>
            </w:pPr>
            <w:r>
              <w:rPr>
                <w:rFonts w:ascii="微软雅黑" w:eastAsia="微软雅黑" w:hAnsi="微软雅黑" w:hint="eastAsia"/>
                <w:sz w:val="21"/>
                <w:szCs w:val="21"/>
                <w:bdr w:val="none" w:sz="0" w:space="0" w:color="auto" w:frame="1"/>
              </w:rPr>
              <w:t>高回报：投资者享受7%固定收益及30%超额收益，独立的产品设计和运作模式让投资者充分获取金融市场的丰厚回报</w:t>
            </w:r>
          </w:p>
        </w:tc>
      </w:tr>
    </w:tbl>
    <w:p w:rsidR="00A95360" w:rsidRPr="00632099" w:rsidRDefault="00CF7CF0" w:rsidP="00632099"/>
    <w:sectPr w:rsidR="00A95360" w:rsidRPr="00632099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7CF0" w:rsidRDefault="00CF7CF0" w:rsidP="00925617">
      <w:r>
        <w:separator/>
      </w:r>
    </w:p>
  </w:endnote>
  <w:endnote w:type="continuationSeparator" w:id="0">
    <w:p w:rsidR="00CF7CF0" w:rsidRDefault="00CF7CF0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7CF0" w:rsidRDefault="00CF7CF0" w:rsidP="00925617">
      <w:r>
        <w:separator/>
      </w:r>
    </w:p>
  </w:footnote>
  <w:footnote w:type="continuationSeparator" w:id="0">
    <w:p w:rsidR="00CF7CF0" w:rsidRDefault="00CF7CF0" w:rsidP="009256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20582"/>
    <w:multiLevelType w:val="multilevel"/>
    <w:tmpl w:val="03B6A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FD5FC0"/>
    <w:multiLevelType w:val="multilevel"/>
    <w:tmpl w:val="0C160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5E84CBC"/>
    <w:multiLevelType w:val="multilevel"/>
    <w:tmpl w:val="3E4EB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69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97673"/>
    <w:rsid w:val="000B5C03"/>
    <w:rsid w:val="000E7676"/>
    <w:rsid w:val="0014614D"/>
    <w:rsid w:val="00170442"/>
    <w:rsid w:val="00187933"/>
    <w:rsid w:val="0019662E"/>
    <w:rsid w:val="001A215B"/>
    <w:rsid w:val="001B1DC1"/>
    <w:rsid w:val="001C01F6"/>
    <w:rsid w:val="0020726B"/>
    <w:rsid w:val="0022285F"/>
    <w:rsid w:val="0022348E"/>
    <w:rsid w:val="00232967"/>
    <w:rsid w:val="00257D3F"/>
    <w:rsid w:val="00274844"/>
    <w:rsid w:val="00277888"/>
    <w:rsid w:val="00284BD3"/>
    <w:rsid w:val="00291724"/>
    <w:rsid w:val="002E1D5B"/>
    <w:rsid w:val="00300CAD"/>
    <w:rsid w:val="00320294"/>
    <w:rsid w:val="00323681"/>
    <w:rsid w:val="00350B51"/>
    <w:rsid w:val="00364182"/>
    <w:rsid w:val="003B1950"/>
    <w:rsid w:val="003E12FE"/>
    <w:rsid w:val="003E5B5C"/>
    <w:rsid w:val="003F0D4A"/>
    <w:rsid w:val="00430EC9"/>
    <w:rsid w:val="00437387"/>
    <w:rsid w:val="00441B35"/>
    <w:rsid w:val="00443F62"/>
    <w:rsid w:val="004733B5"/>
    <w:rsid w:val="004847CB"/>
    <w:rsid w:val="00505C9E"/>
    <w:rsid w:val="005400BE"/>
    <w:rsid w:val="00545035"/>
    <w:rsid w:val="0056755A"/>
    <w:rsid w:val="00587ED8"/>
    <w:rsid w:val="005910A4"/>
    <w:rsid w:val="005A555F"/>
    <w:rsid w:val="005E124B"/>
    <w:rsid w:val="005E2E24"/>
    <w:rsid w:val="005E4208"/>
    <w:rsid w:val="0060646F"/>
    <w:rsid w:val="00620BF9"/>
    <w:rsid w:val="00621AA0"/>
    <w:rsid w:val="00632099"/>
    <w:rsid w:val="0066245E"/>
    <w:rsid w:val="00665CD7"/>
    <w:rsid w:val="006678D0"/>
    <w:rsid w:val="0067058E"/>
    <w:rsid w:val="00673645"/>
    <w:rsid w:val="006E02F7"/>
    <w:rsid w:val="006E1129"/>
    <w:rsid w:val="006F6A33"/>
    <w:rsid w:val="0070094B"/>
    <w:rsid w:val="00712A88"/>
    <w:rsid w:val="00735FD9"/>
    <w:rsid w:val="00751444"/>
    <w:rsid w:val="007E5C4E"/>
    <w:rsid w:val="007F09D2"/>
    <w:rsid w:val="007F14A7"/>
    <w:rsid w:val="008206B0"/>
    <w:rsid w:val="00865210"/>
    <w:rsid w:val="00892873"/>
    <w:rsid w:val="008B4BB3"/>
    <w:rsid w:val="008E2063"/>
    <w:rsid w:val="008F2632"/>
    <w:rsid w:val="00921122"/>
    <w:rsid w:val="00923F61"/>
    <w:rsid w:val="00925617"/>
    <w:rsid w:val="00932343"/>
    <w:rsid w:val="009559B1"/>
    <w:rsid w:val="009645D4"/>
    <w:rsid w:val="00A41BC2"/>
    <w:rsid w:val="00A5561D"/>
    <w:rsid w:val="00AA0B7A"/>
    <w:rsid w:val="00AA34DF"/>
    <w:rsid w:val="00AE0BD3"/>
    <w:rsid w:val="00B040EB"/>
    <w:rsid w:val="00B14700"/>
    <w:rsid w:val="00B15852"/>
    <w:rsid w:val="00B168ED"/>
    <w:rsid w:val="00B34562"/>
    <w:rsid w:val="00B553AA"/>
    <w:rsid w:val="00B837D5"/>
    <w:rsid w:val="00B871C6"/>
    <w:rsid w:val="00BA1FF2"/>
    <w:rsid w:val="00BB3D0C"/>
    <w:rsid w:val="00BF3D40"/>
    <w:rsid w:val="00C30A08"/>
    <w:rsid w:val="00C42F28"/>
    <w:rsid w:val="00C50A18"/>
    <w:rsid w:val="00C86408"/>
    <w:rsid w:val="00C97484"/>
    <w:rsid w:val="00CF7CF0"/>
    <w:rsid w:val="00D21D7A"/>
    <w:rsid w:val="00D434E5"/>
    <w:rsid w:val="00D63FAA"/>
    <w:rsid w:val="00DA3856"/>
    <w:rsid w:val="00DA38AD"/>
    <w:rsid w:val="00DB7D50"/>
    <w:rsid w:val="00DD0090"/>
    <w:rsid w:val="00DE2BF9"/>
    <w:rsid w:val="00DE7E04"/>
    <w:rsid w:val="00E00F33"/>
    <w:rsid w:val="00E07A5B"/>
    <w:rsid w:val="00E24B76"/>
    <w:rsid w:val="00E61860"/>
    <w:rsid w:val="00E64E9B"/>
    <w:rsid w:val="00EA6D5F"/>
    <w:rsid w:val="00EB3E60"/>
    <w:rsid w:val="00EC2002"/>
    <w:rsid w:val="00EC610B"/>
    <w:rsid w:val="00F54116"/>
    <w:rsid w:val="00F61CB4"/>
    <w:rsid w:val="00F62C21"/>
    <w:rsid w:val="00F64196"/>
    <w:rsid w:val="00F64B04"/>
    <w:rsid w:val="00FC238B"/>
    <w:rsid w:val="00FC38C9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69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  <w:style w:type="character" w:customStyle="1" w:styleId="ontitlenow">
    <w:name w:val="on_title_now"/>
    <w:basedOn w:val="a0"/>
    <w:rsid w:val="00F61CB4"/>
  </w:style>
  <w:style w:type="character" w:customStyle="1" w:styleId="view-detail">
    <w:name w:val="view-detail"/>
    <w:basedOn w:val="a0"/>
    <w:rsid w:val="00F61CB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7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3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9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23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6269">
                  <w:marLeft w:val="0"/>
                  <w:marRight w:val="0"/>
                  <w:marTop w:val="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597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0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59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7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97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46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80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54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228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099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80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37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35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787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530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57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509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92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32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167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29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966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441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2142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431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0058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4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1660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87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798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82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45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189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35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26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13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80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0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27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42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52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40507">
                  <w:marLeft w:val="0"/>
                  <w:marRight w:val="0"/>
                  <w:marTop w:val="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281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38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33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388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1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15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33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04810">
                  <w:marLeft w:val="0"/>
                  <w:marRight w:val="0"/>
                  <w:marTop w:val="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8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39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738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46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78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50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72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33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86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37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73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77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81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822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604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475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284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098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719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55551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33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C5C5C5"/>
            <w:right w:val="none" w:sz="0" w:space="0" w:color="auto"/>
          </w:divBdr>
        </w:div>
        <w:div w:id="2477323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2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449995">
                  <w:marLeft w:val="0"/>
                  <w:marRight w:val="0"/>
                  <w:marTop w:val="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850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44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38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74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17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32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16257">
                  <w:marLeft w:val="0"/>
                  <w:marRight w:val="0"/>
                  <w:marTop w:val="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942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48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09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92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24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149937">
                  <w:marLeft w:val="0"/>
                  <w:marRight w:val="0"/>
                  <w:marTop w:val="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39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6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9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4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1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116206">
                  <w:marLeft w:val="-30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76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423806">
                          <w:marLeft w:val="-300"/>
                          <w:marRight w:val="-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979498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5283936">
                                  <w:marLeft w:val="-300"/>
                                  <w:marRight w:val="-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6135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4414164">
                                          <w:marLeft w:val="0"/>
                                          <w:marRight w:val="0"/>
                                          <w:marTop w:val="0"/>
                                          <w:marBottom w:val="5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49132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4337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15422933">
                                          <w:marLeft w:val="0"/>
                                          <w:marRight w:val="0"/>
                                          <w:marTop w:val="0"/>
                                          <w:marBottom w:val="5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5804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53234847">
                                          <w:marLeft w:val="0"/>
                                          <w:marRight w:val="0"/>
                                          <w:marTop w:val="0"/>
                                          <w:marBottom w:val="5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6812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22005152">
                                          <w:marLeft w:val="0"/>
                                          <w:marRight w:val="0"/>
                                          <w:marTop w:val="0"/>
                                          <w:marBottom w:val="5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385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67844474">
                                          <w:marLeft w:val="0"/>
                                          <w:marRight w:val="0"/>
                                          <w:marTop w:val="0"/>
                                          <w:marBottom w:val="5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567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1609982">
                                          <w:marLeft w:val="0"/>
                                          <w:marRight w:val="0"/>
                                          <w:marTop w:val="0"/>
                                          <w:marBottom w:val="5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3374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32860818">
                                          <w:marLeft w:val="0"/>
                                          <w:marRight w:val="0"/>
                                          <w:marTop w:val="0"/>
                                          <w:marBottom w:val="5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5754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47858235">
                                          <w:marLeft w:val="0"/>
                                          <w:marRight w:val="0"/>
                                          <w:marTop w:val="0"/>
                                          <w:marBottom w:val="5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29385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35300861">
                                          <w:marLeft w:val="0"/>
                                          <w:marRight w:val="0"/>
                                          <w:marTop w:val="0"/>
                                          <w:marBottom w:val="5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08289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6267785">
                                          <w:marLeft w:val="0"/>
                                          <w:marRight w:val="0"/>
                                          <w:marTop w:val="0"/>
                                          <w:marBottom w:val="5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5612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4421775">
                                          <w:marLeft w:val="0"/>
                                          <w:marRight w:val="0"/>
                                          <w:marTop w:val="0"/>
                                          <w:marBottom w:val="5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2247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7066063">
                                          <w:marLeft w:val="0"/>
                                          <w:marRight w:val="0"/>
                                          <w:marTop w:val="0"/>
                                          <w:marBottom w:val="5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1559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84854727">
                                          <w:marLeft w:val="0"/>
                                          <w:marRight w:val="0"/>
                                          <w:marTop w:val="0"/>
                                          <w:marBottom w:val="52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24994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517501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918393">
                          <w:marLeft w:val="300"/>
                          <w:marRight w:val="30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8" w:color="CCCCCC"/>
                            <w:right w:val="none" w:sz="0" w:space="0" w:color="auto"/>
                          </w:divBdr>
                        </w:div>
                        <w:div w:id="15927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643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812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CCCCCC"/>
                                <w:left w:val="single" w:sz="6" w:space="0" w:color="CCCCCC"/>
                                <w:bottom w:val="single" w:sz="6" w:space="0" w:color="CCCCCC"/>
                                <w:right w:val="single" w:sz="6" w:space="0" w:color="CCCCCC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18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58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636614">
                  <w:marLeft w:val="0"/>
                  <w:marRight w:val="0"/>
                  <w:marTop w:val="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744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45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3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7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32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01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093375">
                  <w:marLeft w:val="0"/>
                  <w:marRight w:val="0"/>
                  <w:marTop w:val="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200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51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150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99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14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92772">
                  <w:marLeft w:val="0"/>
                  <w:marRight w:val="0"/>
                  <w:marTop w:val="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468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62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167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219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893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0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89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503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3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874066">
                  <w:marLeft w:val="0"/>
                  <w:marRight w:val="0"/>
                  <w:marTop w:val="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700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48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52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95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7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28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247233">
                  <w:marLeft w:val="0"/>
                  <w:marRight w:val="0"/>
                  <w:marTop w:val="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039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98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44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80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25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1485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76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72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99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793497">
                  <w:marLeft w:val="0"/>
                  <w:marRight w:val="0"/>
                  <w:marTop w:val="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309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44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30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08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5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35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568821">
                  <w:marLeft w:val="0"/>
                  <w:marRight w:val="0"/>
                  <w:marTop w:val="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25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8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03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074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8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0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589312">
                  <w:marLeft w:val="0"/>
                  <w:marRight w:val="0"/>
                  <w:marTop w:val="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50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49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88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6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8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52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104888">
                  <w:marLeft w:val="0"/>
                  <w:marRight w:val="0"/>
                  <w:marTop w:val="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52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352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35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2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128424">
                  <w:marLeft w:val="0"/>
                  <w:marRight w:val="0"/>
                  <w:marTop w:val="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155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25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39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92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45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13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466710">
                  <w:marLeft w:val="0"/>
                  <w:marRight w:val="0"/>
                  <w:marTop w:val="0"/>
                  <w:marBottom w:val="2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595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7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476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318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2908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9684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8258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847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842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8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97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3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110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2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57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57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98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39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54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133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196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7371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115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2296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unfo88.com/cn/homeProducts-detail-10.html" TargetMode="External"/><Relationship Id="rId13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sunfo88.com/cn/homeProducts.htm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unfo88.com/cn/homeProducts-detail-10.htm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sunfo88.com/cn/homeProducts-detail-10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unfo88.com/cn/homeProducts-detail-10.html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2015-04-23T07:08:00Z</dcterms:created>
  <dcterms:modified xsi:type="dcterms:W3CDTF">2015-04-23T07:08:00Z</dcterms:modified>
</cp:coreProperties>
</file>