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700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4700"/>
      </w:tblGrid>
      <w:tr w:rsidR="005C2172" w:rsidRPr="005C2172" w:rsidTr="005C2172">
        <w:trPr>
          <w:tblCellSpacing w:w="0" w:type="dxa"/>
          <w:jc w:val="center"/>
        </w:trPr>
        <w:tc>
          <w:tcPr>
            <w:tcW w:w="11490" w:type="dxa"/>
            <w:vAlign w:val="center"/>
            <w:hideMark/>
          </w:tcPr>
          <w:tbl>
            <w:tblPr>
              <w:tblW w:w="48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4112"/>
            </w:tblGrid>
            <w:tr w:rsidR="005C2172" w:rsidRPr="005C2172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5C2172" w:rsidRPr="005C2172" w:rsidRDefault="005C2172" w:rsidP="005C2172">
                  <w:pPr>
                    <w:widowControl/>
                    <w:spacing w:before="100" w:beforeAutospacing="1" w:after="100" w:afterAutospacing="1" w:line="285" w:lineRule="atLeast"/>
                    <w:jc w:val="left"/>
                    <w:rPr>
                      <w:rFonts w:ascii="Arial" w:eastAsia="宋体" w:hAnsi="Arial" w:cs="Arial"/>
                      <w:color w:val="001A5B"/>
                      <w:kern w:val="0"/>
                      <w:sz w:val="18"/>
                      <w:szCs w:val="18"/>
                    </w:rPr>
                  </w:pPr>
                  <w:r w:rsidRPr="005C2172">
                    <w:rPr>
                      <w:rFonts w:ascii="宋体" w:eastAsia="宋体" w:hAnsi="宋体" w:cs="Arial" w:hint="eastAsia"/>
                      <w:color w:val="001A5B"/>
                      <w:kern w:val="0"/>
                      <w:sz w:val="18"/>
                      <w:szCs w:val="18"/>
                    </w:rPr>
                    <w:t>舍得之</w:t>
                  </w:r>
                  <w:proofErr w:type="gramStart"/>
                  <w:r w:rsidRPr="005C2172">
                    <w:rPr>
                      <w:rFonts w:ascii="宋体" w:eastAsia="宋体" w:hAnsi="宋体" w:cs="Arial" w:hint="eastAsia"/>
                      <w:color w:val="001A5B"/>
                      <w:kern w:val="0"/>
                      <w:sz w:val="18"/>
                      <w:szCs w:val="18"/>
                    </w:rPr>
                    <w:t>道资本</w:t>
                  </w:r>
                  <w:proofErr w:type="gramEnd"/>
                  <w:r w:rsidRPr="005C2172">
                    <w:rPr>
                      <w:rFonts w:ascii="宋体" w:eastAsia="宋体" w:hAnsi="宋体" w:cs="Arial" w:hint="eastAsia"/>
                      <w:color w:val="001A5B"/>
                      <w:kern w:val="0"/>
                      <w:sz w:val="18"/>
                      <w:szCs w:val="18"/>
                    </w:rPr>
                    <w:t>-静观万有C期云南文山三七投资基金，成立于2015年04月，属于证券投资基金。基金委任深圳舍得之</w:t>
                  </w:r>
                  <w:proofErr w:type="gramStart"/>
                  <w:r w:rsidRPr="005C2172">
                    <w:rPr>
                      <w:rFonts w:ascii="宋体" w:eastAsia="宋体" w:hAnsi="宋体" w:cs="Arial" w:hint="eastAsia"/>
                      <w:color w:val="001A5B"/>
                      <w:kern w:val="0"/>
                      <w:sz w:val="18"/>
                      <w:szCs w:val="18"/>
                    </w:rPr>
                    <w:t>道资产</w:t>
                  </w:r>
                  <w:proofErr w:type="gramEnd"/>
                  <w:r w:rsidRPr="005C2172">
                    <w:rPr>
                      <w:rFonts w:ascii="宋体" w:eastAsia="宋体" w:hAnsi="宋体" w:cs="Arial" w:hint="eastAsia"/>
                      <w:color w:val="001A5B"/>
                      <w:kern w:val="0"/>
                      <w:sz w:val="18"/>
                      <w:szCs w:val="18"/>
                    </w:rPr>
                    <w:t>管理有限公司为投资经理及基金管理人，</w:t>
                  </w:r>
                  <w:r w:rsidRPr="005C2172">
                    <w:rPr>
                      <w:rFonts w:ascii="Arial" w:eastAsia="宋体" w:hAnsi="Arial" w:cs="Arial"/>
                      <w:color w:val="001A5B"/>
                      <w:kern w:val="0"/>
                      <w:sz w:val="18"/>
                      <w:szCs w:val="18"/>
                    </w:rPr>
                    <w:t>(UK)Phoenix Capital Group&amp;(HK)</w:t>
                  </w:r>
                  <w:proofErr w:type="spellStart"/>
                  <w:r w:rsidRPr="005C2172">
                    <w:rPr>
                      <w:rFonts w:ascii="Arial" w:eastAsia="宋体" w:hAnsi="Arial" w:cs="Arial"/>
                      <w:color w:val="001A5B"/>
                      <w:kern w:val="0"/>
                      <w:sz w:val="18"/>
                      <w:szCs w:val="18"/>
                    </w:rPr>
                    <w:t>PhoenixCapital</w:t>
                  </w:r>
                  <w:proofErr w:type="spellEnd"/>
                  <w:r w:rsidRPr="005C2172">
                    <w:rPr>
                      <w:rFonts w:ascii="宋体" w:eastAsia="宋体" w:hAnsi="宋体" w:cs="Arial" w:hint="eastAsia"/>
                      <w:color w:val="001A5B"/>
                      <w:kern w:val="0"/>
                      <w:sz w:val="18"/>
                      <w:szCs w:val="18"/>
                    </w:rPr>
                    <w:t>为行政管理人，国信证券为券商经纪，交通银行为托管银行。</w:t>
                  </w:r>
                </w:p>
                <w:p w:rsidR="005C2172" w:rsidRPr="005C2172" w:rsidRDefault="005C2172" w:rsidP="005C2172">
                  <w:pPr>
                    <w:widowControl/>
                    <w:spacing w:line="285" w:lineRule="atLeast"/>
                    <w:jc w:val="left"/>
                    <w:rPr>
                      <w:rFonts w:ascii="Arial" w:eastAsia="宋体" w:hAnsi="Arial" w:cs="Arial"/>
                      <w:color w:val="001A5B"/>
                      <w:kern w:val="0"/>
                      <w:sz w:val="18"/>
                      <w:szCs w:val="18"/>
                    </w:rPr>
                  </w:pPr>
                  <w:r w:rsidRPr="005C2172">
                    <w:rPr>
                      <w:rFonts w:ascii="宋体" w:eastAsia="宋体" w:hAnsi="宋体" w:cs="Arial" w:hint="eastAsia"/>
                      <w:color w:val="001A5B"/>
                      <w:kern w:val="0"/>
                      <w:sz w:val="18"/>
                      <w:szCs w:val="18"/>
                    </w:rPr>
                    <w:t>投资目标：在严格控制风险的基础上，</w:t>
                  </w:r>
                  <w:proofErr w:type="gramStart"/>
                  <w:r w:rsidRPr="005C2172">
                    <w:rPr>
                      <w:rFonts w:ascii="宋体" w:eastAsia="宋体" w:hAnsi="宋体" w:cs="Arial" w:hint="eastAsia"/>
                      <w:color w:val="001A5B"/>
                      <w:kern w:val="0"/>
                      <w:sz w:val="18"/>
                      <w:szCs w:val="18"/>
                    </w:rPr>
                    <w:t>构建数</w:t>
                  </w:r>
                  <w:proofErr w:type="gramEnd"/>
                  <w:r w:rsidRPr="005C2172">
                    <w:rPr>
                      <w:rFonts w:ascii="宋体" w:eastAsia="宋体" w:hAnsi="宋体" w:cs="Arial" w:hint="eastAsia"/>
                      <w:color w:val="001A5B"/>
                      <w:kern w:val="0"/>
                      <w:sz w:val="18"/>
                      <w:szCs w:val="18"/>
                    </w:rPr>
                    <w:t>量化投资模型；力求在有效管理系统性风险的前提下，运用市场中性策略追求低风险、长期稳定的绝对收益；追求资产较优回报，并实现投资信息比率的最大化。</w:t>
                  </w:r>
                  <w:r w:rsidRPr="005C2172">
                    <w:rPr>
                      <w:rFonts w:ascii="Arial" w:eastAsia="宋体" w:hAnsi="Arial" w:cs="Arial"/>
                      <w:color w:val="001A5B"/>
                      <w:kern w:val="0"/>
                      <w:sz w:val="18"/>
                      <w:szCs w:val="18"/>
                    </w:rPr>
                    <w:br/>
                  </w:r>
                  <w:r w:rsidRPr="005C2172">
                    <w:rPr>
                      <w:rFonts w:ascii="宋体" w:eastAsia="宋体" w:hAnsi="宋体" w:cs="Arial" w:hint="eastAsia"/>
                      <w:color w:val="001A5B"/>
                      <w:kern w:val="0"/>
                      <w:sz w:val="18"/>
                      <w:szCs w:val="18"/>
                    </w:rPr>
                    <w:t>预期风险：中等风险，低于市场平均水平，年绝对收益为正。</w:t>
                  </w:r>
                  <w:r w:rsidRPr="005C2172">
                    <w:rPr>
                      <w:rFonts w:ascii="Arial" w:eastAsia="宋体" w:hAnsi="Arial" w:cs="Arial"/>
                      <w:color w:val="001A5B"/>
                      <w:kern w:val="0"/>
                      <w:sz w:val="18"/>
                      <w:szCs w:val="18"/>
                    </w:rPr>
                    <w:br/>
                  </w:r>
                  <w:r w:rsidRPr="005C2172">
                    <w:rPr>
                      <w:rFonts w:ascii="宋体" w:eastAsia="宋体" w:hAnsi="宋体" w:cs="Arial" w:hint="eastAsia"/>
                      <w:color w:val="001A5B"/>
                      <w:kern w:val="0"/>
                      <w:sz w:val="18"/>
                      <w:szCs w:val="18"/>
                    </w:rPr>
                    <w:t>投资理念：风险规避型、追求资产稳健增长。</w:t>
                  </w:r>
                  <w:r w:rsidRPr="005C2172">
                    <w:rPr>
                      <w:rFonts w:ascii="Arial" w:eastAsia="宋体" w:hAnsi="Arial" w:cs="Arial"/>
                      <w:color w:val="001A5B"/>
                      <w:kern w:val="0"/>
                      <w:sz w:val="18"/>
                      <w:szCs w:val="18"/>
                    </w:rPr>
                    <w:br/>
                  </w:r>
                  <w:r w:rsidRPr="005C2172">
                    <w:rPr>
                      <w:rFonts w:ascii="宋体" w:eastAsia="宋体" w:hAnsi="宋体" w:cs="Arial" w:hint="eastAsia"/>
                      <w:color w:val="001A5B"/>
                      <w:kern w:val="0"/>
                      <w:sz w:val="18"/>
                      <w:szCs w:val="18"/>
                    </w:rPr>
                    <w:t>投资对象：确定性竞争优势和</w:t>
                  </w:r>
                  <w:proofErr w:type="gramStart"/>
                  <w:r w:rsidRPr="005C2172">
                    <w:rPr>
                      <w:rFonts w:ascii="宋体" w:eastAsia="宋体" w:hAnsi="宋体" w:cs="Arial" w:hint="eastAsia"/>
                      <w:color w:val="001A5B"/>
                      <w:kern w:val="0"/>
                      <w:sz w:val="18"/>
                      <w:szCs w:val="18"/>
                    </w:rPr>
                    <w:t>可</w:t>
                  </w:r>
                  <w:proofErr w:type="gramEnd"/>
                  <w:r w:rsidRPr="005C2172">
                    <w:rPr>
                      <w:rFonts w:ascii="宋体" w:eastAsia="宋体" w:hAnsi="宋体" w:cs="Arial" w:hint="eastAsia"/>
                      <w:color w:val="001A5B"/>
                      <w:kern w:val="0"/>
                      <w:sz w:val="18"/>
                      <w:szCs w:val="18"/>
                    </w:rPr>
                    <w:t>预期业绩的绩优成长股。</w:t>
                  </w:r>
                  <w:r w:rsidRPr="005C2172">
                    <w:rPr>
                      <w:rFonts w:ascii="Arial" w:eastAsia="宋体" w:hAnsi="Arial" w:cs="Arial"/>
                      <w:color w:val="001A5B"/>
                      <w:kern w:val="0"/>
                      <w:sz w:val="18"/>
                      <w:szCs w:val="18"/>
                    </w:rPr>
                    <w:br/>
                  </w:r>
                  <w:r w:rsidRPr="005C2172">
                    <w:rPr>
                      <w:rFonts w:ascii="宋体" w:eastAsia="宋体" w:hAnsi="宋体" w:cs="Arial" w:hint="eastAsia"/>
                      <w:color w:val="001A5B"/>
                      <w:kern w:val="0"/>
                      <w:sz w:val="18"/>
                      <w:szCs w:val="18"/>
                    </w:rPr>
                    <w:t>适合对象：希望能控制风险，同时获得不低于市场平均收益的客户。</w:t>
                  </w:r>
                  <w:r w:rsidRPr="005C2172">
                    <w:rPr>
                      <w:rFonts w:ascii="Arial" w:eastAsia="宋体" w:hAnsi="Arial" w:cs="Arial"/>
                      <w:color w:val="001A5B"/>
                      <w:kern w:val="0"/>
                      <w:sz w:val="18"/>
                      <w:szCs w:val="18"/>
                    </w:rPr>
                    <w:br/>
                  </w:r>
                  <w:r w:rsidRPr="005C2172">
                    <w:rPr>
                      <w:rFonts w:ascii="宋体" w:eastAsia="宋体" w:hAnsi="宋体" w:cs="Arial" w:hint="eastAsia"/>
                      <w:color w:val="001A5B"/>
                      <w:kern w:val="0"/>
                      <w:sz w:val="18"/>
                      <w:szCs w:val="18"/>
                    </w:rPr>
                    <w:t>资金规模：总计募集资金规模为5000万元/人民币。</w:t>
                  </w:r>
                  <w:r w:rsidRPr="005C2172">
                    <w:rPr>
                      <w:rFonts w:ascii="Arial" w:eastAsia="宋体" w:hAnsi="Arial" w:cs="Arial"/>
                      <w:color w:val="001A5B"/>
                      <w:kern w:val="0"/>
                      <w:sz w:val="18"/>
                      <w:szCs w:val="18"/>
                    </w:rPr>
                    <w:br/>
                  </w:r>
                  <w:r w:rsidRPr="005C2172">
                    <w:rPr>
                      <w:rFonts w:ascii="宋体" w:eastAsia="宋体" w:hAnsi="宋体" w:cs="Arial" w:hint="eastAsia"/>
                      <w:color w:val="001A5B"/>
                      <w:kern w:val="0"/>
                      <w:sz w:val="18"/>
                      <w:szCs w:val="18"/>
                    </w:rPr>
                    <w:t>管理费用：需要按照委托管理资金规模，一次性且单项提取2</w:t>
                  </w:r>
                  <w:r w:rsidRPr="005C2172">
                    <w:rPr>
                      <w:rFonts w:ascii="Arial" w:eastAsia="宋体" w:hAnsi="Arial" w:cs="Arial"/>
                      <w:color w:val="001A5B"/>
                      <w:kern w:val="0"/>
                      <w:sz w:val="18"/>
                      <w:szCs w:val="18"/>
                    </w:rPr>
                    <w:t>%</w:t>
                  </w:r>
                  <w:r w:rsidRPr="005C2172">
                    <w:rPr>
                      <w:rFonts w:ascii="宋体" w:eastAsia="宋体" w:hAnsi="宋体" w:cs="Arial" w:hint="eastAsia"/>
                      <w:color w:val="001A5B"/>
                      <w:kern w:val="0"/>
                      <w:sz w:val="18"/>
                      <w:szCs w:val="18"/>
                    </w:rPr>
                    <w:t>的固定管理费用。</w:t>
                  </w:r>
                  <w:r w:rsidRPr="005C2172">
                    <w:rPr>
                      <w:rFonts w:ascii="Arial" w:eastAsia="宋体" w:hAnsi="Arial" w:cs="Arial"/>
                      <w:color w:val="001A5B"/>
                      <w:kern w:val="0"/>
                      <w:sz w:val="18"/>
                      <w:szCs w:val="18"/>
                    </w:rPr>
                    <w:t> </w:t>
                  </w:r>
                  <w:r w:rsidRPr="005C2172">
                    <w:rPr>
                      <w:rFonts w:ascii="Arial" w:eastAsia="宋体" w:hAnsi="Arial" w:cs="Arial"/>
                      <w:color w:val="001A5B"/>
                      <w:kern w:val="0"/>
                      <w:sz w:val="18"/>
                      <w:szCs w:val="18"/>
                    </w:rPr>
                    <w:br/>
                  </w:r>
                  <w:r w:rsidRPr="005C2172">
                    <w:rPr>
                      <w:rFonts w:ascii="宋体" w:eastAsia="宋体" w:hAnsi="宋体" w:cs="Arial" w:hint="eastAsia"/>
                      <w:color w:val="001A5B"/>
                      <w:kern w:val="0"/>
                      <w:sz w:val="18"/>
                      <w:szCs w:val="18"/>
                    </w:rPr>
                    <w:t>风险控制：投资限制：A）股票中单个行业占</w:t>
                  </w:r>
                  <w:proofErr w:type="gramStart"/>
                  <w:r w:rsidRPr="005C2172">
                    <w:rPr>
                      <w:rFonts w:ascii="宋体" w:eastAsia="宋体" w:hAnsi="宋体" w:cs="Arial" w:hint="eastAsia"/>
                      <w:color w:val="001A5B"/>
                      <w:kern w:val="0"/>
                      <w:sz w:val="18"/>
                      <w:szCs w:val="18"/>
                    </w:rPr>
                    <w:t>比不可</w:t>
                  </w:r>
                  <w:proofErr w:type="gramEnd"/>
                  <w:r w:rsidRPr="005C2172">
                    <w:rPr>
                      <w:rFonts w:ascii="宋体" w:eastAsia="宋体" w:hAnsi="宋体" w:cs="Arial" w:hint="eastAsia"/>
                      <w:color w:val="001A5B"/>
                      <w:kern w:val="0"/>
                      <w:sz w:val="18"/>
                      <w:szCs w:val="18"/>
                    </w:rPr>
                    <w:t>超过总持仓金额的20%；B）投资标的中不可买</w:t>
                  </w:r>
                  <w:proofErr w:type="spellStart"/>
                  <w:r w:rsidRPr="005C2172">
                    <w:rPr>
                      <w:rFonts w:ascii="宋体" w:eastAsia="宋体" w:hAnsi="宋体" w:cs="Arial" w:hint="eastAsia"/>
                      <w:color w:val="001A5B"/>
                      <w:kern w:val="0"/>
                      <w:sz w:val="18"/>
                      <w:szCs w:val="18"/>
                    </w:rPr>
                    <w:t>st</w:t>
                  </w:r>
                  <w:proofErr w:type="spellEnd"/>
                  <w:r w:rsidRPr="005C2172">
                    <w:rPr>
                      <w:rFonts w:ascii="宋体" w:eastAsia="宋体" w:hAnsi="宋体" w:cs="Arial" w:hint="eastAsia"/>
                      <w:color w:val="001A5B"/>
                      <w:kern w:val="0"/>
                      <w:sz w:val="18"/>
                      <w:szCs w:val="18"/>
                    </w:rPr>
                    <w:t>股和*</w:t>
                  </w:r>
                  <w:proofErr w:type="spellStart"/>
                  <w:r w:rsidRPr="005C2172">
                    <w:rPr>
                      <w:rFonts w:ascii="宋体" w:eastAsia="宋体" w:hAnsi="宋体" w:cs="Arial" w:hint="eastAsia"/>
                      <w:color w:val="001A5B"/>
                      <w:kern w:val="0"/>
                      <w:sz w:val="18"/>
                      <w:szCs w:val="18"/>
                    </w:rPr>
                    <w:t>st</w:t>
                  </w:r>
                  <w:proofErr w:type="spellEnd"/>
                  <w:r w:rsidRPr="005C2172">
                    <w:rPr>
                      <w:rFonts w:ascii="宋体" w:eastAsia="宋体" w:hAnsi="宋体" w:cs="Arial" w:hint="eastAsia"/>
                      <w:color w:val="001A5B"/>
                      <w:kern w:val="0"/>
                      <w:sz w:val="18"/>
                      <w:szCs w:val="18"/>
                    </w:rPr>
                    <w:t>股。投资和业务禁止：A)禁止投资任何金融期货和商品期货；B）禁止使用任何金融杠杆交易；C）禁止承销证券；D）禁止违反规定向他人贷款或提供担保；E）禁止从事承担无限责任的投资；F）禁止利用基金资产为基金投资者之外的任何第三方谋取不正当利益、进行利益输送；G）禁止从事内幕交易、操纵证券价格及其他不正当的证券交易活动；H）禁止法律法规、中国证监会以及本合同规定禁止从事的其他行为。止损策略：当净值低于0.85时</w:t>
                  </w:r>
                  <w:proofErr w:type="gramStart"/>
                  <w:r w:rsidRPr="005C2172">
                    <w:rPr>
                      <w:rFonts w:ascii="宋体" w:eastAsia="宋体" w:hAnsi="宋体" w:cs="Arial" w:hint="eastAsia"/>
                      <w:color w:val="001A5B"/>
                      <w:kern w:val="0"/>
                      <w:sz w:val="18"/>
                      <w:szCs w:val="18"/>
                    </w:rPr>
                    <w:t>仓位</w:t>
                  </w:r>
                  <w:proofErr w:type="gramEnd"/>
                  <w:r w:rsidRPr="005C2172">
                    <w:rPr>
                      <w:rFonts w:ascii="宋体" w:eastAsia="宋体" w:hAnsi="宋体" w:cs="Arial" w:hint="eastAsia"/>
                      <w:color w:val="001A5B"/>
                      <w:kern w:val="0"/>
                      <w:sz w:val="18"/>
                      <w:szCs w:val="18"/>
                    </w:rPr>
                    <w:t>减至70%，当净值低于0.80时</w:t>
                  </w:r>
                  <w:proofErr w:type="gramStart"/>
                  <w:r w:rsidRPr="005C2172">
                    <w:rPr>
                      <w:rFonts w:ascii="宋体" w:eastAsia="宋体" w:hAnsi="宋体" w:cs="Arial" w:hint="eastAsia"/>
                      <w:color w:val="001A5B"/>
                      <w:kern w:val="0"/>
                      <w:sz w:val="18"/>
                      <w:szCs w:val="18"/>
                    </w:rPr>
                    <w:t>仓位</w:t>
                  </w:r>
                  <w:proofErr w:type="gramEnd"/>
                  <w:r w:rsidRPr="005C2172">
                    <w:rPr>
                      <w:rFonts w:ascii="宋体" w:eastAsia="宋体" w:hAnsi="宋体" w:cs="Arial" w:hint="eastAsia"/>
                      <w:color w:val="001A5B"/>
                      <w:kern w:val="0"/>
                      <w:sz w:val="18"/>
                      <w:szCs w:val="18"/>
                    </w:rPr>
                    <w:t>减至50%，当净值低于0.75时平掉所有持仓。</w:t>
                  </w:r>
                  <w:r w:rsidRPr="005C2172">
                    <w:rPr>
                      <w:rFonts w:ascii="Arial" w:eastAsia="宋体" w:hAnsi="Arial" w:cs="Arial"/>
                      <w:color w:val="001A5B"/>
                      <w:kern w:val="0"/>
                      <w:sz w:val="18"/>
                      <w:szCs w:val="18"/>
                    </w:rPr>
                    <w:br/>
                  </w:r>
                  <w:r w:rsidRPr="005C2172">
                    <w:rPr>
                      <w:rFonts w:ascii="宋体" w:eastAsia="宋体" w:hAnsi="宋体" w:cs="Arial" w:hint="eastAsia"/>
                      <w:color w:val="001A5B"/>
                      <w:kern w:val="0"/>
                      <w:sz w:val="18"/>
                      <w:szCs w:val="18"/>
                    </w:rPr>
                    <w:t>投资类别配置规则：每股收益不低于0.3元；预计未来三年业绩均有增长，且年复合增长率不低于30%；业绩的可预期性高；有突出竞争优势，行业排名前三。</w:t>
                  </w:r>
                  <w:r w:rsidRPr="005C2172">
                    <w:rPr>
                      <w:rFonts w:ascii="Arial" w:eastAsia="宋体" w:hAnsi="Arial" w:cs="Arial"/>
                      <w:color w:val="001A5B"/>
                      <w:kern w:val="0"/>
                      <w:sz w:val="18"/>
                      <w:szCs w:val="18"/>
                    </w:rPr>
                    <w:br/>
                  </w:r>
                  <w:r w:rsidRPr="005C2172">
                    <w:rPr>
                      <w:rFonts w:ascii="宋体" w:eastAsia="宋体" w:hAnsi="宋体" w:cs="Arial" w:hint="eastAsia"/>
                      <w:color w:val="001A5B"/>
                      <w:kern w:val="0"/>
                      <w:sz w:val="18"/>
                      <w:szCs w:val="18"/>
                    </w:rPr>
                    <w:t>投资标的入选和剔除：研究员或者基金经理推荐并且出具研究报告，经投资决策委员会审核后选入；剔除程序与此同 。</w:t>
                  </w:r>
                  <w:r w:rsidRPr="005C2172">
                    <w:rPr>
                      <w:rFonts w:ascii="Arial" w:eastAsia="宋体" w:hAnsi="Arial" w:cs="Arial"/>
                      <w:color w:val="001A5B"/>
                      <w:kern w:val="0"/>
                      <w:sz w:val="18"/>
                      <w:szCs w:val="18"/>
                    </w:rPr>
                    <w:br/>
                  </w:r>
                  <w:r w:rsidRPr="005C2172">
                    <w:rPr>
                      <w:rFonts w:ascii="宋体" w:eastAsia="宋体" w:hAnsi="宋体" w:cs="Arial" w:hint="eastAsia"/>
                      <w:color w:val="001A5B"/>
                      <w:kern w:val="0"/>
                      <w:sz w:val="18"/>
                      <w:szCs w:val="18"/>
                    </w:rPr>
                    <w:t>系统风险的专业监测：影响整体业绩因素包括宏观经济下滑、严厉宏观调控政策、国际经济环境的快速恶化等；影响资金供求因素包括利率、外汇储备、货币供应量、IPO、增发、限售股解禁、基金等机构的规模、税收政策等。</w:t>
                  </w:r>
                  <w:r w:rsidRPr="005C2172">
                    <w:rPr>
                      <w:rFonts w:ascii="Arial" w:eastAsia="宋体" w:hAnsi="Arial" w:cs="Arial"/>
                      <w:color w:val="001A5B"/>
                      <w:kern w:val="0"/>
                      <w:sz w:val="18"/>
                      <w:szCs w:val="18"/>
                    </w:rPr>
                    <w:br/>
                  </w:r>
                  <w:r w:rsidRPr="005C2172">
                    <w:rPr>
                      <w:rFonts w:ascii="宋体" w:eastAsia="宋体" w:hAnsi="宋体" w:cs="Arial" w:hint="eastAsia"/>
                      <w:color w:val="001A5B"/>
                      <w:kern w:val="0"/>
                      <w:sz w:val="18"/>
                      <w:szCs w:val="18"/>
                    </w:rPr>
                    <w:t>预期收益：与市场平均水平接近，且最低年收益高于本年度沪深300指数增长率。</w:t>
                  </w:r>
                </w:p>
              </w:tc>
            </w:tr>
          </w:tbl>
          <w:p w:rsidR="005C2172" w:rsidRPr="005C2172" w:rsidRDefault="005C2172" w:rsidP="005C2172">
            <w:pPr>
              <w:widowControl/>
              <w:spacing w:line="285" w:lineRule="atLeast"/>
              <w:jc w:val="left"/>
              <w:rPr>
                <w:rFonts w:ascii="Arial" w:eastAsia="宋体" w:hAnsi="Arial" w:cs="Arial"/>
                <w:color w:val="001A5B"/>
                <w:kern w:val="0"/>
                <w:sz w:val="18"/>
                <w:szCs w:val="18"/>
              </w:rPr>
            </w:pPr>
          </w:p>
        </w:tc>
      </w:tr>
    </w:tbl>
    <w:p w:rsidR="00A95360" w:rsidRPr="005C2172" w:rsidRDefault="00455E3E" w:rsidP="005C2172"/>
    <w:sectPr w:rsidR="00A95360" w:rsidRPr="005C2172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5E3E" w:rsidRDefault="00455E3E" w:rsidP="00925617">
      <w:r>
        <w:separator/>
      </w:r>
    </w:p>
  </w:endnote>
  <w:endnote w:type="continuationSeparator" w:id="0">
    <w:p w:rsidR="00455E3E" w:rsidRDefault="00455E3E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5E3E" w:rsidRDefault="00455E3E" w:rsidP="00925617">
      <w:r>
        <w:separator/>
      </w:r>
    </w:p>
  </w:footnote>
  <w:footnote w:type="continuationSeparator" w:id="0">
    <w:p w:rsidR="00455E3E" w:rsidRDefault="00455E3E" w:rsidP="009256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A35354"/>
    <w:multiLevelType w:val="multilevel"/>
    <w:tmpl w:val="E1561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39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21E2D"/>
    <w:rsid w:val="00032F6C"/>
    <w:rsid w:val="00047D11"/>
    <w:rsid w:val="000E7676"/>
    <w:rsid w:val="0011276D"/>
    <w:rsid w:val="0014614D"/>
    <w:rsid w:val="00187933"/>
    <w:rsid w:val="0019662E"/>
    <w:rsid w:val="001B1DC1"/>
    <w:rsid w:val="001C01F6"/>
    <w:rsid w:val="0020726B"/>
    <w:rsid w:val="00232967"/>
    <w:rsid w:val="00257D3F"/>
    <w:rsid w:val="00284BD3"/>
    <w:rsid w:val="00320294"/>
    <w:rsid w:val="00323681"/>
    <w:rsid w:val="00336579"/>
    <w:rsid w:val="00364182"/>
    <w:rsid w:val="003E12FE"/>
    <w:rsid w:val="003F0D4A"/>
    <w:rsid w:val="00430EC9"/>
    <w:rsid w:val="00437387"/>
    <w:rsid w:val="00443F62"/>
    <w:rsid w:val="00455E3E"/>
    <w:rsid w:val="00505C9E"/>
    <w:rsid w:val="0056755A"/>
    <w:rsid w:val="00587ED8"/>
    <w:rsid w:val="005910A4"/>
    <w:rsid w:val="005C2172"/>
    <w:rsid w:val="005E124B"/>
    <w:rsid w:val="005E2E24"/>
    <w:rsid w:val="005E4208"/>
    <w:rsid w:val="00604FDD"/>
    <w:rsid w:val="0066245E"/>
    <w:rsid w:val="006678D0"/>
    <w:rsid w:val="00673645"/>
    <w:rsid w:val="00691792"/>
    <w:rsid w:val="006E02F7"/>
    <w:rsid w:val="0070094B"/>
    <w:rsid w:val="00712A88"/>
    <w:rsid w:val="00735FD9"/>
    <w:rsid w:val="00775DCB"/>
    <w:rsid w:val="007E5C4E"/>
    <w:rsid w:val="007F14A7"/>
    <w:rsid w:val="00892873"/>
    <w:rsid w:val="008B4BB3"/>
    <w:rsid w:val="008E2063"/>
    <w:rsid w:val="00902C86"/>
    <w:rsid w:val="00923F61"/>
    <w:rsid w:val="00925617"/>
    <w:rsid w:val="00932343"/>
    <w:rsid w:val="009559B1"/>
    <w:rsid w:val="00A35577"/>
    <w:rsid w:val="00A5561D"/>
    <w:rsid w:val="00AA34DF"/>
    <w:rsid w:val="00B31056"/>
    <w:rsid w:val="00B34562"/>
    <w:rsid w:val="00B46F15"/>
    <w:rsid w:val="00B553AA"/>
    <w:rsid w:val="00B871C6"/>
    <w:rsid w:val="00C25B95"/>
    <w:rsid w:val="00C42F28"/>
    <w:rsid w:val="00C50A18"/>
    <w:rsid w:val="00C76F4E"/>
    <w:rsid w:val="00C97484"/>
    <w:rsid w:val="00D21D7A"/>
    <w:rsid w:val="00D434E5"/>
    <w:rsid w:val="00DA3856"/>
    <w:rsid w:val="00DB24C7"/>
    <w:rsid w:val="00DD0090"/>
    <w:rsid w:val="00DE2BF9"/>
    <w:rsid w:val="00DE7E04"/>
    <w:rsid w:val="00E61860"/>
    <w:rsid w:val="00E64E9B"/>
    <w:rsid w:val="00EB3E60"/>
    <w:rsid w:val="00EC145F"/>
    <w:rsid w:val="00EC2002"/>
    <w:rsid w:val="00F26BA3"/>
    <w:rsid w:val="00F62C21"/>
    <w:rsid w:val="00F64196"/>
    <w:rsid w:val="00F64B04"/>
    <w:rsid w:val="00FC238B"/>
    <w:rsid w:val="00FF012A"/>
    <w:rsid w:val="00FF3EA6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604FDD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  <w:style w:type="character" w:customStyle="1" w:styleId="c12red">
    <w:name w:val="c12red"/>
    <w:basedOn w:val="a0"/>
    <w:rsid w:val="0019662E"/>
  </w:style>
  <w:style w:type="character" w:styleId="a9">
    <w:name w:val="Hyperlink"/>
    <w:basedOn w:val="a0"/>
    <w:uiPriority w:val="99"/>
    <w:semiHidden/>
    <w:unhideWhenUsed/>
    <w:rsid w:val="0019662E"/>
    <w:rPr>
      <w:color w:val="0000FF"/>
      <w:u w:val="single"/>
    </w:rPr>
  </w:style>
  <w:style w:type="character" w:customStyle="1" w:styleId="skim">
    <w:name w:val="skim"/>
    <w:basedOn w:val="a0"/>
    <w:rsid w:val="001C01F6"/>
  </w:style>
  <w:style w:type="character" w:customStyle="1" w:styleId="date">
    <w:name w:val="date"/>
    <w:basedOn w:val="a0"/>
    <w:rsid w:val="001C01F6"/>
  </w:style>
  <w:style w:type="character" w:customStyle="1" w:styleId="5Char">
    <w:name w:val="标题 5 Char"/>
    <w:basedOn w:val="a0"/>
    <w:link w:val="5"/>
    <w:uiPriority w:val="9"/>
    <w:semiHidden/>
    <w:rsid w:val="00604FDD"/>
    <w:rPr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8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2965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81645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86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1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41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818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253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940065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2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672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02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1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61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966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485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9678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283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dashed" w:sz="6" w:space="4" w:color="666666"/>
            <w:right w:val="none" w:sz="0" w:space="0" w:color="auto"/>
          </w:divBdr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01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71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0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33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556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26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9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526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613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63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64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4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66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253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622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67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6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322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04609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84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21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87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9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05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58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297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0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0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8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96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297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527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7439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461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87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0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69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923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146</Words>
  <Characters>833</Characters>
  <Application>Microsoft Office Word</Application>
  <DocSecurity>0</DocSecurity>
  <Lines>6</Lines>
  <Paragraphs>1</Paragraphs>
  <ScaleCrop>false</ScaleCrop>
  <Company/>
  <LinksUpToDate>false</LinksUpToDate>
  <CharactersWithSpaces>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2015-05-04T05:09:00Z</dcterms:created>
  <dcterms:modified xsi:type="dcterms:W3CDTF">2015-05-04T05:09:00Z</dcterms:modified>
</cp:coreProperties>
</file>