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179" w:rsidRDefault="00006179" w:rsidP="00006179">
      <w:pPr>
        <w:pStyle w:val="a6"/>
        <w:spacing w:before="0" w:beforeAutospacing="0" w:after="0" w:afterAutospacing="0" w:line="270" w:lineRule="atLeast"/>
        <w:rPr>
          <w:rFonts w:ascii="微软雅黑" w:eastAsia="微软雅黑" w:hAnsi="微软雅黑" w:hint="eastAsia"/>
          <w:color w:val="000000"/>
          <w:sz w:val="18"/>
          <w:szCs w:val="18"/>
        </w:rPr>
      </w:pPr>
    </w:p>
    <w:p w:rsidR="00006179" w:rsidRDefault="00006179" w:rsidP="00006179">
      <w:pPr>
        <w:pStyle w:val="a6"/>
        <w:spacing w:before="0" w:beforeAutospacing="0" w:after="0" w:afterAutospacing="0" w:line="270" w:lineRule="atLeast"/>
        <w:jc w:val="center"/>
        <w:rPr>
          <w:rFonts w:ascii="微软雅黑" w:eastAsia="微软雅黑" w:hAnsi="微软雅黑" w:hint="eastAsia"/>
          <w:color w:val="000000"/>
          <w:sz w:val="18"/>
          <w:szCs w:val="18"/>
        </w:rPr>
      </w:pPr>
      <w:proofErr w:type="gramStart"/>
      <w:r>
        <w:rPr>
          <w:rStyle w:val="a7"/>
          <w:rFonts w:ascii="微软雅黑" w:eastAsia="微软雅黑" w:hAnsi="微软雅黑" w:hint="eastAsia"/>
          <w:color w:val="000000"/>
          <w:sz w:val="21"/>
          <w:szCs w:val="21"/>
        </w:rPr>
        <w:t>塔岩北冥</w:t>
      </w:r>
      <w:proofErr w:type="gramEnd"/>
      <w:r>
        <w:rPr>
          <w:rStyle w:val="a7"/>
          <w:rFonts w:ascii="微软雅黑" w:eastAsia="微软雅黑" w:hAnsi="微软雅黑" w:hint="eastAsia"/>
          <w:color w:val="000000"/>
          <w:sz w:val="21"/>
          <w:szCs w:val="21"/>
        </w:rPr>
        <w:t>2号证券投资基金募集公告</w:t>
      </w:r>
    </w:p>
    <w:p w:rsidR="00006179" w:rsidRDefault="00006179" w:rsidP="00006179">
      <w:pPr>
        <w:pStyle w:val="a6"/>
        <w:shd w:val="clear" w:color="auto" w:fill="FFFFFF"/>
        <w:spacing w:before="0" w:beforeAutospacing="0" w:after="0" w:afterAutospacing="0" w:line="270" w:lineRule="atLeast"/>
        <w:ind w:firstLine="420"/>
        <w:rPr>
          <w:rFonts w:ascii="微软雅黑" w:eastAsia="微软雅黑" w:hAnsi="微软雅黑"/>
          <w:color w:val="000000"/>
          <w:sz w:val="18"/>
          <w:szCs w:val="18"/>
        </w:rPr>
      </w:pPr>
      <w:proofErr w:type="gramStart"/>
      <w:r>
        <w:rPr>
          <w:rFonts w:hint="eastAsia"/>
          <w:color w:val="000000"/>
          <w:sz w:val="18"/>
          <w:szCs w:val="18"/>
        </w:rPr>
        <w:t>塔岩北冥</w:t>
      </w:r>
      <w:proofErr w:type="gramEnd"/>
      <w:r>
        <w:rPr>
          <w:rFonts w:ascii="微软雅黑" w:eastAsia="微软雅黑" w:hAnsi="微软雅黑" w:hint="eastAsia"/>
          <w:color w:val="000000"/>
          <w:sz w:val="18"/>
          <w:szCs w:val="18"/>
        </w:rPr>
        <w:t>2</w:t>
      </w:r>
      <w:r>
        <w:rPr>
          <w:rFonts w:hint="eastAsia"/>
          <w:color w:val="000000"/>
          <w:sz w:val="18"/>
          <w:szCs w:val="18"/>
        </w:rPr>
        <w:t>号证券投资基金（以下简称“塔岩北冥</w:t>
      </w:r>
      <w:r>
        <w:rPr>
          <w:rFonts w:ascii="微软雅黑" w:eastAsia="微软雅黑" w:hAnsi="微软雅黑" w:hint="eastAsia"/>
          <w:color w:val="000000"/>
          <w:sz w:val="18"/>
          <w:szCs w:val="18"/>
        </w:rPr>
        <w:t>2</w:t>
      </w:r>
      <w:r>
        <w:rPr>
          <w:rFonts w:hint="eastAsia"/>
          <w:color w:val="000000"/>
          <w:sz w:val="18"/>
          <w:szCs w:val="18"/>
        </w:rPr>
        <w:t>号”），即日起正式开放认购预约，现将有关事项公告如下：</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一、募集期</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2015</w:t>
      </w:r>
      <w:r>
        <w:rPr>
          <w:rFonts w:hint="eastAsia"/>
          <w:color w:val="000000"/>
          <w:sz w:val="18"/>
          <w:szCs w:val="18"/>
        </w:rPr>
        <w:t>年</w:t>
      </w:r>
      <w:r>
        <w:rPr>
          <w:rFonts w:ascii="微软雅黑" w:eastAsia="微软雅黑" w:hAnsi="微软雅黑" w:hint="eastAsia"/>
          <w:color w:val="000000"/>
          <w:sz w:val="18"/>
          <w:szCs w:val="18"/>
        </w:rPr>
        <w:t>3</w:t>
      </w:r>
      <w:r>
        <w:rPr>
          <w:rFonts w:hint="eastAsia"/>
          <w:color w:val="000000"/>
          <w:sz w:val="18"/>
          <w:szCs w:val="18"/>
        </w:rPr>
        <w:t>月</w:t>
      </w:r>
      <w:r>
        <w:rPr>
          <w:rFonts w:ascii="微软雅黑" w:eastAsia="微软雅黑" w:hAnsi="微软雅黑" w:hint="eastAsia"/>
          <w:color w:val="000000"/>
          <w:sz w:val="18"/>
          <w:szCs w:val="18"/>
        </w:rPr>
        <w:t>23</w:t>
      </w:r>
      <w:r>
        <w:rPr>
          <w:rFonts w:hint="eastAsia"/>
          <w:color w:val="000000"/>
          <w:sz w:val="18"/>
          <w:szCs w:val="18"/>
        </w:rPr>
        <w:t>日至</w:t>
      </w:r>
      <w:r>
        <w:rPr>
          <w:rFonts w:ascii="微软雅黑" w:eastAsia="微软雅黑" w:hAnsi="微软雅黑" w:hint="eastAsia"/>
          <w:color w:val="000000"/>
          <w:sz w:val="18"/>
          <w:szCs w:val="18"/>
        </w:rPr>
        <w:t>2015</w:t>
      </w:r>
      <w:r>
        <w:rPr>
          <w:rFonts w:hint="eastAsia"/>
          <w:color w:val="000000"/>
          <w:sz w:val="18"/>
          <w:szCs w:val="18"/>
        </w:rPr>
        <w:t>年</w:t>
      </w:r>
      <w:r>
        <w:rPr>
          <w:rFonts w:ascii="微软雅黑" w:eastAsia="微软雅黑" w:hAnsi="微软雅黑" w:hint="eastAsia"/>
          <w:color w:val="000000"/>
          <w:sz w:val="18"/>
          <w:szCs w:val="18"/>
        </w:rPr>
        <w:t>4</w:t>
      </w:r>
      <w:r>
        <w:rPr>
          <w:rFonts w:hint="eastAsia"/>
          <w:color w:val="000000"/>
          <w:sz w:val="18"/>
          <w:szCs w:val="18"/>
        </w:rPr>
        <w:t>月</w:t>
      </w:r>
      <w:r>
        <w:rPr>
          <w:rFonts w:ascii="微软雅黑" w:eastAsia="微软雅黑" w:hAnsi="微软雅黑" w:hint="eastAsia"/>
          <w:color w:val="000000"/>
          <w:sz w:val="18"/>
          <w:szCs w:val="18"/>
        </w:rPr>
        <w:t>23</w:t>
      </w:r>
      <w:r>
        <w:rPr>
          <w:rFonts w:hint="eastAsia"/>
          <w:color w:val="000000"/>
          <w:sz w:val="18"/>
          <w:szCs w:val="18"/>
        </w:rPr>
        <w:t>日</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二、基金类别</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股票型私募证券投资基金。</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三、运作方式</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本基金封闭期为</w:t>
      </w:r>
      <w:r>
        <w:rPr>
          <w:rFonts w:ascii="微软雅黑" w:eastAsia="微软雅黑" w:hAnsi="微软雅黑" w:hint="eastAsia"/>
          <w:color w:val="000000"/>
          <w:sz w:val="18"/>
          <w:szCs w:val="18"/>
        </w:rPr>
        <w:t>6</w:t>
      </w:r>
      <w:r>
        <w:rPr>
          <w:rFonts w:hint="eastAsia"/>
          <w:color w:val="000000"/>
          <w:sz w:val="18"/>
          <w:szCs w:val="18"/>
        </w:rPr>
        <w:t>个月，封闭期过后每月</w:t>
      </w:r>
      <w:r>
        <w:rPr>
          <w:rFonts w:ascii="微软雅黑" w:eastAsia="微软雅黑" w:hAnsi="微软雅黑" w:hint="eastAsia"/>
          <w:color w:val="000000"/>
          <w:sz w:val="18"/>
          <w:szCs w:val="18"/>
        </w:rPr>
        <w:t>25</w:t>
      </w:r>
      <w:r>
        <w:rPr>
          <w:rFonts w:hint="eastAsia"/>
          <w:color w:val="000000"/>
          <w:sz w:val="18"/>
          <w:szCs w:val="18"/>
        </w:rPr>
        <w:t>日（若遇节假日则顺延到下一交易日）定期开放申购赎回，封闭期自产品成立之日起计算。</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四、投资目标</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本基金力求在有效控制投资风险的基础上，追求资产的稳健增值。</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五、续存期限</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本基金不设固定存续期。</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六、初始认购</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（一）销售对象</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合格投资者，指具备相应风险识别能力和承担所投资私募基金风险能力且符合下列条件之一的单位和个人：</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1</w:t>
      </w:r>
      <w:r>
        <w:rPr>
          <w:rFonts w:hint="eastAsia"/>
          <w:color w:val="000000"/>
          <w:sz w:val="18"/>
          <w:szCs w:val="18"/>
        </w:rPr>
        <w:t>、个人或者家庭金融资产合计不低于</w:t>
      </w:r>
      <w:r>
        <w:rPr>
          <w:rFonts w:ascii="微软雅黑" w:eastAsia="微软雅黑" w:hAnsi="微软雅黑" w:hint="eastAsia"/>
          <w:color w:val="000000"/>
          <w:sz w:val="18"/>
          <w:szCs w:val="18"/>
        </w:rPr>
        <w:t>200</w:t>
      </w:r>
      <w:r>
        <w:rPr>
          <w:rFonts w:hint="eastAsia"/>
          <w:color w:val="000000"/>
          <w:sz w:val="18"/>
          <w:szCs w:val="18"/>
        </w:rPr>
        <w:t>万元人民币；</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2</w:t>
      </w:r>
      <w:r>
        <w:rPr>
          <w:rFonts w:hint="eastAsia"/>
          <w:color w:val="000000"/>
          <w:sz w:val="18"/>
          <w:szCs w:val="18"/>
        </w:rPr>
        <w:t>、最近</w:t>
      </w:r>
      <w:r>
        <w:rPr>
          <w:rFonts w:ascii="微软雅黑" w:eastAsia="微软雅黑" w:hAnsi="微软雅黑" w:hint="eastAsia"/>
          <w:color w:val="000000"/>
          <w:sz w:val="18"/>
          <w:szCs w:val="18"/>
        </w:rPr>
        <w:t>3</w:t>
      </w:r>
      <w:r>
        <w:rPr>
          <w:rFonts w:hint="eastAsia"/>
          <w:color w:val="000000"/>
          <w:sz w:val="18"/>
          <w:szCs w:val="18"/>
        </w:rPr>
        <w:t>年个人年均收入不低于</w:t>
      </w:r>
      <w:r>
        <w:rPr>
          <w:rFonts w:ascii="微软雅黑" w:eastAsia="微软雅黑" w:hAnsi="微软雅黑" w:hint="eastAsia"/>
          <w:color w:val="000000"/>
          <w:sz w:val="18"/>
          <w:szCs w:val="18"/>
        </w:rPr>
        <w:t>20</w:t>
      </w:r>
      <w:r>
        <w:rPr>
          <w:rFonts w:hint="eastAsia"/>
          <w:color w:val="000000"/>
          <w:sz w:val="18"/>
          <w:szCs w:val="18"/>
        </w:rPr>
        <w:t>万元人民币；</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3</w:t>
      </w:r>
      <w:r>
        <w:rPr>
          <w:rFonts w:hint="eastAsia"/>
          <w:color w:val="000000"/>
          <w:sz w:val="18"/>
          <w:szCs w:val="18"/>
        </w:rPr>
        <w:t>、最近</w:t>
      </w:r>
      <w:r>
        <w:rPr>
          <w:rFonts w:ascii="微软雅黑" w:eastAsia="微软雅黑" w:hAnsi="微软雅黑" w:hint="eastAsia"/>
          <w:color w:val="000000"/>
          <w:sz w:val="18"/>
          <w:szCs w:val="18"/>
        </w:rPr>
        <w:t>3</w:t>
      </w:r>
      <w:r>
        <w:rPr>
          <w:rFonts w:hint="eastAsia"/>
          <w:color w:val="000000"/>
          <w:sz w:val="18"/>
          <w:szCs w:val="18"/>
        </w:rPr>
        <w:t>年家庭年均收入不低于</w:t>
      </w:r>
      <w:r>
        <w:rPr>
          <w:rFonts w:ascii="微软雅黑" w:eastAsia="微软雅黑" w:hAnsi="微软雅黑" w:hint="eastAsia"/>
          <w:color w:val="000000"/>
          <w:sz w:val="18"/>
          <w:szCs w:val="18"/>
        </w:rPr>
        <w:t>30</w:t>
      </w:r>
      <w:r>
        <w:rPr>
          <w:rFonts w:hint="eastAsia"/>
          <w:color w:val="000000"/>
          <w:sz w:val="18"/>
          <w:szCs w:val="18"/>
        </w:rPr>
        <w:t>万元人民币；</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4</w:t>
      </w:r>
      <w:r>
        <w:rPr>
          <w:rFonts w:hint="eastAsia"/>
          <w:color w:val="000000"/>
          <w:sz w:val="18"/>
          <w:szCs w:val="18"/>
        </w:rPr>
        <w:t>、公司、企业等机构净资产不低于</w:t>
      </w:r>
      <w:r>
        <w:rPr>
          <w:rFonts w:ascii="微软雅黑" w:eastAsia="微软雅黑" w:hAnsi="微软雅黑" w:hint="eastAsia"/>
          <w:color w:val="000000"/>
          <w:sz w:val="18"/>
          <w:szCs w:val="18"/>
        </w:rPr>
        <w:t>1000</w:t>
      </w:r>
      <w:r>
        <w:rPr>
          <w:rFonts w:hint="eastAsia"/>
          <w:color w:val="000000"/>
          <w:sz w:val="18"/>
          <w:szCs w:val="18"/>
        </w:rPr>
        <w:t>万元人民币；</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hint="eastAsia"/>
          <w:color w:val="000000"/>
          <w:sz w:val="18"/>
          <w:szCs w:val="18"/>
        </w:rPr>
        <w:t>受国务院金融监督管理机构监管的金融机构依法设立并管理的投资产品视为合格投资者。</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（二）基金份额的持有和认购限额</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认购资金应以现金形式交付。投资者在初始销售期间的认购金额不得低于</w:t>
      </w:r>
      <w:r>
        <w:rPr>
          <w:rFonts w:ascii="微软雅黑" w:eastAsia="微软雅黑" w:hAnsi="微软雅黑" w:hint="eastAsia"/>
          <w:color w:val="000000"/>
          <w:sz w:val="18"/>
          <w:szCs w:val="18"/>
        </w:rPr>
        <w:t>100</w:t>
      </w:r>
      <w:r>
        <w:rPr>
          <w:rFonts w:hint="eastAsia"/>
          <w:color w:val="000000"/>
          <w:sz w:val="18"/>
          <w:szCs w:val="18"/>
        </w:rPr>
        <w:t>万元人民币（不含认购费），并可多次认购。</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（三）基金的认购费用</w:t>
      </w:r>
    </w:p>
    <w:p w:rsidR="00006179" w:rsidRDefault="00006179" w:rsidP="00006179">
      <w:pPr>
        <w:pStyle w:val="a6"/>
        <w:shd w:val="clear" w:color="auto" w:fill="FFFFFF"/>
        <w:spacing w:before="0" w:beforeAutospacing="0" w:after="0" w:afterAutospacing="0" w:line="270" w:lineRule="atLeast"/>
        <w:ind w:firstLine="405"/>
        <w:rPr>
          <w:rFonts w:ascii="微软雅黑" w:eastAsia="微软雅黑" w:hAnsi="微软雅黑" w:hint="eastAsia"/>
          <w:color w:val="000000"/>
          <w:sz w:val="18"/>
          <w:szCs w:val="18"/>
        </w:rPr>
      </w:pPr>
      <w:r>
        <w:rPr>
          <w:rFonts w:hint="eastAsia"/>
          <w:color w:val="000000"/>
          <w:sz w:val="18"/>
          <w:szCs w:val="18"/>
        </w:rPr>
        <w:t>本基金的认购费率为</w:t>
      </w:r>
      <w:r>
        <w:rPr>
          <w:rFonts w:ascii="微软雅黑" w:eastAsia="微软雅黑" w:hAnsi="微软雅黑" w:hint="eastAsia"/>
          <w:color w:val="000000"/>
          <w:sz w:val="18"/>
          <w:szCs w:val="18"/>
        </w:rPr>
        <w:t>1%</w:t>
      </w:r>
      <w:r>
        <w:rPr>
          <w:rFonts w:hint="eastAsia"/>
          <w:color w:val="000000"/>
          <w:sz w:val="18"/>
          <w:szCs w:val="18"/>
        </w:rPr>
        <w:t>，由投资者承担，不计入基金财产。</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（四）初始销售期间的认购程序</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资产委托人办理认购业务时，应提交相应文件。办理手续、办理时间、处理规则等以各销售机构具体规定为准。</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七、相关法律</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r>
        <w:rPr>
          <w:rStyle w:val="apple-converted-space"/>
          <w:rFonts w:ascii="微软雅黑" w:eastAsia="微软雅黑" w:hAnsi="微软雅黑" w:hint="eastAsia"/>
          <w:color w:val="000000"/>
          <w:sz w:val="18"/>
          <w:szCs w:val="18"/>
        </w:rPr>
        <w:t> </w:t>
      </w:r>
      <w:r>
        <w:rPr>
          <w:rFonts w:hint="eastAsia"/>
          <w:color w:val="000000"/>
          <w:sz w:val="18"/>
          <w:szCs w:val="18"/>
        </w:rPr>
        <w:t>投资者办理认购前，应仔细阅读相关基金合同及相关法律文件，并确保遵循其规定。</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八、以上产品发行的解释权归本公司所有</w:t>
      </w:r>
    </w:p>
    <w:p w:rsidR="00006179" w:rsidRDefault="00006179" w:rsidP="00006179">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Style w:val="a7"/>
          <w:rFonts w:hint="eastAsia"/>
          <w:color w:val="000000"/>
          <w:sz w:val="18"/>
          <w:szCs w:val="18"/>
        </w:rPr>
        <w:t>九、风险提示</w:t>
      </w:r>
    </w:p>
    <w:p w:rsidR="00006179" w:rsidRDefault="00006179" w:rsidP="00006179">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hint="eastAsia"/>
          <w:color w:val="000000"/>
          <w:sz w:val="18"/>
          <w:szCs w:val="18"/>
        </w:rPr>
        <w:t>本公司承诺以诚实信用、勤勉尽责的原则管理和运用基金资产，但不保证基金一定盈利，也不保证最低收益。敬请投资人根据自身的风险承受能力选择适合自己的基金产品投资，注意基金投资风险。</w:t>
      </w:r>
    </w:p>
    <w:p w:rsidR="00006179" w:rsidRDefault="00006179" w:rsidP="00006179">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ascii="微软雅黑" w:eastAsia="微软雅黑" w:hAnsi="微软雅黑" w:hint="eastAsia"/>
          <w:color w:val="000000"/>
          <w:sz w:val="18"/>
          <w:szCs w:val="18"/>
        </w:rPr>
        <w:t> </w:t>
      </w:r>
    </w:p>
    <w:p w:rsidR="00006179" w:rsidRDefault="00006179" w:rsidP="00006179">
      <w:pPr>
        <w:pStyle w:val="a6"/>
        <w:shd w:val="clear" w:color="auto" w:fill="FFFFFF"/>
        <w:spacing w:before="0" w:beforeAutospacing="0" w:after="0" w:afterAutospacing="0" w:line="270" w:lineRule="atLeast"/>
        <w:ind w:right="840"/>
        <w:rPr>
          <w:rFonts w:ascii="微软雅黑" w:eastAsia="微软雅黑" w:hAnsi="微软雅黑" w:hint="eastAsia"/>
          <w:color w:val="000000"/>
          <w:sz w:val="18"/>
          <w:szCs w:val="18"/>
        </w:rPr>
      </w:pPr>
      <w:r>
        <w:rPr>
          <w:rFonts w:hint="eastAsia"/>
          <w:color w:val="000000"/>
          <w:sz w:val="18"/>
          <w:szCs w:val="18"/>
        </w:rPr>
        <w:t>特此公告</w:t>
      </w:r>
    </w:p>
    <w:p w:rsidR="00006179" w:rsidRDefault="00006179" w:rsidP="00006179">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hint="eastAsia"/>
          <w:color w:val="000000"/>
          <w:sz w:val="18"/>
          <w:szCs w:val="18"/>
        </w:rPr>
        <w:t>上海塔岩投资管理有限公司</w:t>
      </w:r>
    </w:p>
    <w:p w:rsidR="00006179" w:rsidRDefault="00006179" w:rsidP="00006179">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hint="eastAsia"/>
          <w:color w:val="000000"/>
          <w:sz w:val="18"/>
          <w:szCs w:val="18"/>
        </w:rPr>
        <w:t>二零一五年三月二十三日</w:t>
      </w:r>
    </w:p>
    <w:p w:rsidR="00006179" w:rsidRDefault="00006179" w:rsidP="00006179">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hint="eastAsia"/>
          <w:color w:val="000000"/>
          <w:sz w:val="18"/>
          <w:szCs w:val="18"/>
        </w:rPr>
        <w:t>本公告所刊载之内容，只</w:t>
      </w:r>
      <w:proofErr w:type="gramStart"/>
      <w:r>
        <w:rPr>
          <w:rFonts w:hint="eastAsia"/>
          <w:color w:val="000000"/>
          <w:sz w:val="18"/>
          <w:szCs w:val="18"/>
        </w:rPr>
        <w:t>作信息</w:t>
      </w:r>
      <w:proofErr w:type="gramEnd"/>
      <w:r>
        <w:rPr>
          <w:rFonts w:hint="eastAsia"/>
          <w:color w:val="000000"/>
          <w:sz w:val="18"/>
          <w:szCs w:val="18"/>
        </w:rPr>
        <w:t>性质用途，不构成任何投资要约或要约邀请。更多信息详见基金合同，与本公司取得联系后，由本公司采用一对一的方式为特定投资者进行讲解。</w:t>
      </w:r>
    </w:p>
    <w:p w:rsidR="00006179" w:rsidRDefault="00006179" w:rsidP="00006179">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p>
    <w:p w:rsidR="00A95360" w:rsidRPr="00006179" w:rsidRDefault="00F53271" w:rsidP="00006179"/>
    <w:sectPr w:rsidR="00A95360" w:rsidRPr="00006179"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271" w:rsidRDefault="00F53271" w:rsidP="00925617">
      <w:r>
        <w:separator/>
      </w:r>
    </w:p>
  </w:endnote>
  <w:endnote w:type="continuationSeparator" w:id="0">
    <w:p w:rsidR="00F53271" w:rsidRDefault="00F53271"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271" w:rsidRDefault="00F53271" w:rsidP="00925617">
      <w:r>
        <w:separator/>
      </w:r>
    </w:p>
  </w:footnote>
  <w:footnote w:type="continuationSeparator" w:id="0">
    <w:p w:rsidR="00F53271" w:rsidRDefault="00F53271"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47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01764"/>
    <w:rsid w:val="00006179"/>
    <w:rsid w:val="00021E2D"/>
    <w:rsid w:val="00047D11"/>
    <w:rsid w:val="000E7676"/>
    <w:rsid w:val="0014614D"/>
    <w:rsid w:val="00187933"/>
    <w:rsid w:val="0019662E"/>
    <w:rsid w:val="001B1DC1"/>
    <w:rsid w:val="001C01F6"/>
    <w:rsid w:val="0020726B"/>
    <w:rsid w:val="00232967"/>
    <w:rsid w:val="00252EEA"/>
    <w:rsid w:val="00257D3F"/>
    <w:rsid w:val="00284BD3"/>
    <w:rsid w:val="00320294"/>
    <w:rsid w:val="00323681"/>
    <w:rsid w:val="00364182"/>
    <w:rsid w:val="003E12FE"/>
    <w:rsid w:val="003F0D4A"/>
    <w:rsid w:val="00430EC9"/>
    <w:rsid w:val="00437387"/>
    <w:rsid w:val="00443F62"/>
    <w:rsid w:val="00505C9E"/>
    <w:rsid w:val="0056755A"/>
    <w:rsid w:val="00585A93"/>
    <w:rsid w:val="00587ED8"/>
    <w:rsid w:val="005910A4"/>
    <w:rsid w:val="005E124B"/>
    <w:rsid w:val="005E2E24"/>
    <w:rsid w:val="005E4208"/>
    <w:rsid w:val="0066245E"/>
    <w:rsid w:val="006678D0"/>
    <w:rsid w:val="00673645"/>
    <w:rsid w:val="006E02F7"/>
    <w:rsid w:val="0070094B"/>
    <w:rsid w:val="0070771C"/>
    <w:rsid w:val="00712A88"/>
    <w:rsid w:val="00735FD9"/>
    <w:rsid w:val="007E5C4E"/>
    <w:rsid w:val="007F14A7"/>
    <w:rsid w:val="00865EAC"/>
    <w:rsid w:val="00892873"/>
    <w:rsid w:val="008B4BB3"/>
    <w:rsid w:val="008E2063"/>
    <w:rsid w:val="00923F61"/>
    <w:rsid w:val="00925617"/>
    <w:rsid w:val="00932343"/>
    <w:rsid w:val="009559B1"/>
    <w:rsid w:val="00A5561D"/>
    <w:rsid w:val="00A820AB"/>
    <w:rsid w:val="00AA34DF"/>
    <w:rsid w:val="00B34562"/>
    <w:rsid w:val="00B553AA"/>
    <w:rsid w:val="00B871C6"/>
    <w:rsid w:val="00C42F28"/>
    <w:rsid w:val="00C50A18"/>
    <w:rsid w:val="00C97484"/>
    <w:rsid w:val="00D21D7A"/>
    <w:rsid w:val="00D434E5"/>
    <w:rsid w:val="00D640AF"/>
    <w:rsid w:val="00DA3856"/>
    <w:rsid w:val="00DD0090"/>
    <w:rsid w:val="00DE2BF9"/>
    <w:rsid w:val="00DE7E04"/>
    <w:rsid w:val="00E61860"/>
    <w:rsid w:val="00E64E9B"/>
    <w:rsid w:val="00EB3E60"/>
    <w:rsid w:val="00EC2002"/>
    <w:rsid w:val="00F53271"/>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38870809">
      <w:bodyDiv w:val="1"/>
      <w:marLeft w:val="0"/>
      <w:marRight w:val="0"/>
      <w:marTop w:val="0"/>
      <w:marBottom w:val="0"/>
      <w:divBdr>
        <w:top w:val="none" w:sz="0" w:space="0" w:color="auto"/>
        <w:left w:val="none" w:sz="0" w:space="0" w:color="auto"/>
        <w:bottom w:val="none" w:sz="0" w:space="0" w:color="auto"/>
        <w:right w:val="none" w:sz="0" w:space="0" w:color="auto"/>
      </w:divBdr>
      <w:divsChild>
        <w:div w:id="127096123">
          <w:marLeft w:val="0"/>
          <w:marRight w:val="0"/>
          <w:marTop w:val="0"/>
          <w:marBottom w:val="0"/>
          <w:divBdr>
            <w:top w:val="none" w:sz="0" w:space="0" w:color="auto"/>
            <w:left w:val="none" w:sz="0" w:space="0" w:color="auto"/>
            <w:bottom w:val="none" w:sz="0" w:space="0" w:color="auto"/>
            <w:right w:val="none" w:sz="0" w:space="0" w:color="auto"/>
          </w:divBdr>
          <w:divsChild>
            <w:div w:id="1718623661">
              <w:marLeft w:val="0"/>
              <w:marRight w:val="0"/>
              <w:marTop w:val="0"/>
              <w:marBottom w:val="0"/>
              <w:divBdr>
                <w:top w:val="single" w:sz="2" w:space="0" w:color="CCCCCC"/>
                <w:left w:val="single" w:sz="2" w:space="0" w:color="CCCCCC"/>
                <w:bottom w:val="single" w:sz="2" w:space="0" w:color="CCCCCC"/>
                <w:right w:val="single" w:sz="2" w:space="0" w:color="CCCCCC"/>
              </w:divBdr>
              <w:divsChild>
                <w:div w:id="196428070">
                  <w:marLeft w:val="0"/>
                  <w:marRight w:val="0"/>
                  <w:marTop w:val="0"/>
                  <w:marBottom w:val="0"/>
                  <w:divBdr>
                    <w:top w:val="none" w:sz="0" w:space="0" w:color="auto"/>
                    <w:left w:val="none" w:sz="0" w:space="0" w:color="auto"/>
                    <w:bottom w:val="none" w:sz="0" w:space="0" w:color="auto"/>
                    <w:right w:val="none" w:sz="0" w:space="0" w:color="auto"/>
                  </w:divBdr>
                  <w:divsChild>
                    <w:div w:id="118359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683888">
          <w:marLeft w:val="0"/>
          <w:marRight w:val="0"/>
          <w:marTop w:val="0"/>
          <w:marBottom w:val="0"/>
          <w:divBdr>
            <w:top w:val="none" w:sz="0" w:space="0" w:color="auto"/>
            <w:left w:val="none" w:sz="0" w:space="0" w:color="auto"/>
            <w:bottom w:val="none" w:sz="0" w:space="0" w:color="auto"/>
            <w:right w:val="none" w:sz="0" w:space="0" w:color="auto"/>
          </w:divBdr>
          <w:divsChild>
            <w:div w:id="516046548">
              <w:marLeft w:val="0"/>
              <w:marRight w:val="0"/>
              <w:marTop w:val="0"/>
              <w:marBottom w:val="0"/>
              <w:divBdr>
                <w:top w:val="single" w:sz="2" w:space="0" w:color="CCCCCC"/>
                <w:left w:val="single" w:sz="2" w:space="0" w:color="CCCCCC"/>
                <w:bottom w:val="single" w:sz="2" w:space="0" w:color="CCCCCC"/>
                <w:right w:val="single" w:sz="2" w:space="0" w:color="CCCCCC"/>
              </w:divBdr>
              <w:divsChild>
                <w:div w:id="1933706945">
                  <w:marLeft w:val="0"/>
                  <w:marRight w:val="0"/>
                  <w:marTop w:val="0"/>
                  <w:marBottom w:val="0"/>
                  <w:divBdr>
                    <w:top w:val="none" w:sz="0" w:space="0" w:color="auto"/>
                    <w:left w:val="none" w:sz="0" w:space="0" w:color="auto"/>
                    <w:bottom w:val="none" w:sz="0" w:space="0" w:color="auto"/>
                    <w:right w:val="none" w:sz="0" w:space="0" w:color="auto"/>
                  </w:divBdr>
                  <w:divsChild>
                    <w:div w:id="165741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49398160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5012">
      <w:bodyDiv w:val="1"/>
      <w:marLeft w:val="0"/>
      <w:marRight w:val="0"/>
      <w:marTop w:val="0"/>
      <w:marBottom w:val="0"/>
      <w:divBdr>
        <w:top w:val="none" w:sz="0" w:space="0" w:color="auto"/>
        <w:left w:val="none" w:sz="0" w:space="0" w:color="auto"/>
        <w:bottom w:val="none" w:sz="0" w:space="0" w:color="auto"/>
        <w:right w:val="none" w:sz="0" w:space="0" w:color="auto"/>
      </w:divBdr>
      <w:divsChild>
        <w:div w:id="1667518739">
          <w:marLeft w:val="0"/>
          <w:marRight w:val="0"/>
          <w:marTop w:val="0"/>
          <w:marBottom w:val="0"/>
          <w:divBdr>
            <w:top w:val="none" w:sz="0" w:space="0" w:color="auto"/>
            <w:left w:val="none" w:sz="0" w:space="0" w:color="auto"/>
            <w:bottom w:val="none" w:sz="0" w:space="0" w:color="auto"/>
            <w:right w:val="none" w:sz="0" w:space="0" w:color="auto"/>
          </w:divBdr>
          <w:divsChild>
            <w:div w:id="871504483">
              <w:marLeft w:val="0"/>
              <w:marRight w:val="0"/>
              <w:marTop w:val="0"/>
              <w:marBottom w:val="0"/>
              <w:divBdr>
                <w:top w:val="none" w:sz="0" w:space="0" w:color="auto"/>
                <w:left w:val="none" w:sz="0" w:space="0" w:color="auto"/>
                <w:bottom w:val="none" w:sz="0" w:space="0" w:color="auto"/>
                <w:right w:val="none" w:sz="0" w:space="0" w:color="auto"/>
              </w:divBdr>
              <w:divsChild>
                <w:div w:id="1081876550">
                  <w:marLeft w:val="0"/>
                  <w:marRight w:val="0"/>
                  <w:marTop w:val="0"/>
                  <w:marBottom w:val="0"/>
                  <w:divBdr>
                    <w:top w:val="single" w:sz="6" w:space="0" w:color="D8D8D8"/>
                    <w:left w:val="single" w:sz="6" w:space="0" w:color="D8D8D8"/>
                    <w:bottom w:val="single" w:sz="6" w:space="0" w:color="D8D8D8"/>
                    <w:right w:val="single" w:sz="6" w:space="0" w:color="D8D8D8"/>
                  </w:divBdr>
                  <w:divsChild>
                    <w:div w:id="1171143642">
                      <w:marLeft w:val="270"/>
                      <w:marRight w:val="0"/>
                      <w:marTop w:val="0"/>
                      <w:marBottom w:val="0"/>
                      <w:divBdr>
                        <w:top w:val="none" w:sz="0" w:space="0" w:color="auto"/>
                        <w:left w:val="none" w:sz="0" w:space="0" w:color="auto"/>
                        <w:bottom w:val="none" w:sz="0" w:space="0" w:color="auto"/>
                        <w:right w:val="none" w:sz="0" w:space="0" w:color="auto"/>
                      </w:divBdr>
                      <w:divsChild>
                        <w:div w:id="49888046">
                          <w:marLeft w:val="0"/>
                          <w:marRight w:val="0"/>
                          <w:marTop w:val="0"/>
                          <w:marBottom w:val="0"/>
                          <w:divBdr>
                            <w:top w:val="none" w:sz="0" w:space="0" w:color="auto"/>
                            <w:left w:val="none" w:sz="0" w:space="0" w:color="auto"/>
                            <w:bottom w:val="none" w:sz="0" w:space="0" w:color="auto"/>
                            <w:right w:val="none" w:sz="0" w:space="0" w:color="auto"/>
                          </w:divBdr>
                          <w:divsChild>
                            <w:div w:id="2114981288">
                              <w:marLeft w:val="0"/>
                              <w:marRight w:val="0"/>
                              <w:marTop w:val="0"/>
                              <w:marBottom w:val="0"/>
                              <w:divBdr>
                                <w:top w:val="none" w:sz="0" w:space="0" w:color="auto"/>
                                <w:left w:val="none" w:sz="0" w:space="0" w:color="auto"/>
                                <w:bottom w:val="dashed" w:sz="6" w:space="0" w:color="CCCCCC"/>
                                <w:right w:val="none" w:sz="0" w:space="0" w:color="auto"/>
                              </w:divBdr>
                              <w:divsChild>
                                <w:div w:id="1053501383">
                                  <w:marLeft w:val="0"/>
                                  <w:marRight w:val="0"/>
                                  <w:marTop w:val="0"/>
                                  <w:marBottom w:val="0"/>
                                  <w:divBdr>
                                    <w:top w:val="none" w:sz="0" w:space="0" w:color="auto"/>
                                    <w:left w:val="none" w:sz="0" w:space="0" w:color="auto"/>
                                    <w:bottom w:val="dashed" w:sz="6" w:space="0" w:color="CCCCCC"/>
                                    <w:right w:val="none" w:sz="0" w:space="0" w:color="auto"/>
                                  </w:divBdr>
                                  <w:divsChild>
                                    <w:div w:id="497186148">
                                      <w:marLeft w:val="4350"/>
                                      <w:marRight w:val="0"/>
                                      <w:marTop w:val="0"/>
                                      <w:marBottom w:val="0"/>
                                      <w:divBdr>
                                        <w:top w:val="none" w:sz="0" w:space="0" w:color="auto"/>
                                        <w:left w:val="none" w:sz="0" w:space="0" w:color="auto"/>
                                        <w:bottom w:val="none" w:sz="0" w:space="0" w:color="auto"/>
                                        <w:right w:val="none" w:sz="0" w:space="0" w:color="auto"/>
                                      </w:divBdr>
                                      <w:divsChild>
                                        <w:div w:id="956837672">
                                          <w:marLeft w:val="0"/>
                                          <w:marRight w:val="150"/>
                                          <w:marTop w:val="0"/>
                                          <w:marBottom w:val="0"/>
                                          <w:divBdr>
                                            <w:top w:val="none" w:sz="0" w:space="0" w:color="auto"/>
                                            <w:left w:val="none" w:sz="0" w:space="0" w:color="auto"/>
                                            <w:bottom w:val="none" w:sz="0" w:space="0" w:color="auto"/>
                                            <w:right w:val="none" w:sz="0" w:space="0" w:color="auto"/>
                                          </w:divBdr>
                                        </w:div>
                                      </w:divsChild>
                                    </w:div>
                                    <w:div w:id="585967562">
                                      <w:marLeft w:val="0"/>
                                      <w:marRight w:val="150"/>
                                      <w:marTop w:val="0"/>
                                      <w:marBottom w:val="0"/>
                                      <w:divBdr>
                                        <w:top w:val="none" w:sz="0" w:space="0" w:color="auto"/>
                                        <w:left w:val="none" w:sz="0" w:space="0" w:color="auto"/>
                                        <w:bottom w:val="none" w:sz="0" w:space="0" w:color="auto"/>
                                        <w:right w:val="none" w:sz="0" w:space="0" w:color="auto"/>
                                      </w:divBdr>
                                    </w:div>
                                    <w:div w:id="807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762537">
                          <w:marLeft w:val="270"/>
                          <w:marRight w:val="0"/>
                          <w:marTop w:val="0"/>
                          <w:marBottom w:val="0"/>
                          <w:divBdr>
                            <w:top w:val="none" w:sz="0" w:space="0" w:color="auto"/>
                            <w:left w:val="none" w:sz="0" w:space="0" w:color="auto"/>
                            <w:bottom w:val="none" w:sz="0" w:space="0" w:color="auto"/>
                            <w:right w:val="none" w:sz="0" w:space="0" w:color="auto"/>
                          </w:divBdr>
                          <w:divsChild>
                            <w:div w:id="186215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05223770">
      <w:bodyDiv w:val="1"/>
      <w:marLeft w:val="0"/>
      <w:marRight w:val="0"/>
      <w:marTop w:val="0"/>
      <w:marBottom w:val="0"/>
      <w:divBdr>
        <w:top w:val="none" w:sz="0" w:space="0" w:color="auto"/>
        <w:left w:val="none" w:sz="0" w:space="0" w:color="auto"/>
        <w:bottom w:val="none" w:sz="0" w:space="0" w:color="auto"/>
        <w:right w:val="none" w:sz="0" w:space="0" w:color="auto"/>
      </w:divBdr>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793</Characters>
  <Application>Microsoft Office Word</Application>
  <DocSecurity>0</DocSecurity>
  <Lines>6</Lines>
  <Paragraphs>1</Paragraphs>
  <ScaleCrop>false</ScaleCrop>
  <Company/>
  <LinksUpToDate>false</LinksUpToDate>
  <CharactersWithSpaces>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2015-05-06T05:26:00Z</dcterms:created>
  <dcterms:modified xsi:type="dcterms:W3CDTF">2015-05-06T05:26:00Z</dcterms:modified>
</cp:coreProperties>
</file>