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5E" w:rsidRPr="00A82F5E" w:rsidRDefault="00A82F5E" w:rsidP="00A82F5E">
      <w:pPr>
        <w:widowControl/>
        <w:shd w:val="clear" w:color="auto" w:fill="FFFFFF"/>
        <w:spacing w:before="150" w:after="150" w:line="360" w:lineRule="atLeast"/>
        <w:ind w:firstLine="480"/>
        <w:jc w:val="center"/>
        <w:rPr>
          <w:rFonts w:ascii="Arial" w:eastAsia="宋体" w:hAnsi="Arial" w:cs="Arial"/>
          <w:color w:val="555555"/>
          <w:kern w:val="0"/>
          <w:szCs w:val="21"/>
        </w:rPr>
      </w:pPr>
      <w:r w:rsidRPr="00A82F5E">
        <w:rPr>
          <w:rFonts w:ascii="Arial" w:eastAsia="宋体" w:hAnsi="Arial" w:cs="Arial"/>
          <w:color w:val="555555"/>
          <w:kern w:val="0"/>
          <w:szCs w:val="21"/>
        </w:rPr>
        <w:t>长江资管乐享季季盈</w:t>
      </w:r>
      <w:r w:rsidRPr="00A82F5E">
        <w:rPr>
          <w:rFonts w:ascii="Arial" w:eastAsia="宋体" w:hAnsi="Arial" w:cs="Arial"/>
          <w:color w:val="555555"/>
          <w:kern w:val="0"/>
          <w:szCs w:val="21"/>
        </w:rPr>
        <w:t>2</w:t>
      </w:r>
      <w:r w:rsidRPr="00A82F5E">
        <w:rPr>
          <w:rFonts w:ascii="Arial" w:eastAsia="宋体" w:hAnsi="Arial" w:cs="Arial"/>
          <w:color w:val="555555"/>
          <w:kern w:val="0"/>
          <w:szCs w:val="21"/>
        </w:rPr>
        <w:t>号集合资产管理计划发行公告</w:t>
      </w:r>
    </w:p>
    <w:p w:rsidR="00A82F5E" w:rsidRPr="00A82F5E" w:rsidRDefault="00A82F5E" w:rsidP="00A82F5E">
      <w:pPr>
        <w:widowControl/>
        <w:shd w:val="clear" w:color="auto" w:fill="FFFFFF"/>
        <w:spacing w:before="150" w:after="150" w:line="360" w:lineRule="atLeast"/>
        <w:ind w:firstLine="480"/>
        <w:jc w:val="left"/>
        <w:rPr>
          <w:rFonts w:ascii="Arial" w:eastAsia="宋体" w:hAnsi="Arial" w:cs="Arial"/>
          <w:color w:val="555555"/>
          <w:kern w:val="0"/>
          <w:szCs w:val="21"/>
        </w:rPr>
      </w:pPr>
      <w:r w:rsidRPr="00A82F5E">
        <w:rPr>
          <w:rFonts w:ascii="Arial" w:eastAsia="宋体" w:hAnsi="Arial" w:cs="Arial"/>
          <w:color w:val="555555"/>
          <w:kern w:val="0"/>
          <w:szCs w:val="21"/>
        </w:rPr>
        <w:t> </w:t>
      </w:r>
    </w:p>
    <w:p w:rsidR="00A82F5E" w:rsidRPr="00A82F5E" w:rsidRDefault="00A82F5E" w:rsidP="00A82F5E">
      <w:pPr>
        <w:widowControl/>
        <w:shd w:val="clear" w:color="auto" w:fill="FFFFFF"/>
        <w:spacing w:before="150" w:after="150" w:line="360" w:lineRule="atLeast"/>
        <w:ind w:firstLine="480"/>
        <w:jc w:val="left"/>
        <w:rPr>
          <w:rFonts w:ascii="Arial" w:eastAsia="宋体" w:hAnsi="Arial" w:cs="Arial"/>
          <w:color w:val="555555"/>
          <w:kern w:val="0"/>
          <w:szCs w:val="21"/>
        </w:rPr>
      </w:pPr>
      <w:r w:rsidRPr="00A82F5E">
        <w:rPr>
          <w:rFonts w:ascii="Arial" w:eastAsia="宋体" w:hAnsi="Arial" w:cs="Arial"/>
          <w:color w:val="555555"/>
          <w:kern w:val="0"/>
          <w:szCs w:val="21"/>
        </w:rPr>
        <w:t>尊敬的投资者：</w:t>
      </w:r>
    </w:p>
    <w:p w:rsidR="00A82F5E" w:rsidRPr="00A82F5E" w:rsidRDefault="00A82F5E" w:rsidP="00A82F5E">
      <w:pPr>
        <w:widowControl/>
        <w:shd w:val="clear" w:color="auto" w:fill="FFFFFF"/>
        <w:spacing w:before="150" w:after="150" w:line="360" w:lineRule="atLeast"/>
        <w:ind w:firstLine="480"/>
        <w:jc w:val="left"/>
        <w:rPr>
          <w:rFonts w:ascii="Arial" w:eastAsia="宋体" w:hAnsi="Arial" w:cs="Arial"/>
          <w:color w:val="555555"/>
          <w:kern w:val="0"/>
          <w:szCs w:val="21"/>
        </w:rPr>
      </w:pPr>
      <w:r w:rsidRPr="00A82F5E">
        <w:rPr>
          <w:rFonts w:ascii="Arial" w:eastAsia="宋体" w:hAnsi="Arial" w:cs="Arial"/>
          <w:color w:val="555555"/>
          <w:kern w:val="0"/>
          <w:szCs w:val="21"/>
        </w:rPr>
        <w:t>感谢您对我公司管理的集合资产管理计划的关注和信任。现将长江资管乐享季季盈</w:t>
      </w:r>
      <w:r w:rsidRPr="00A82F5E">
        <w:rPr>
          <w:rFonts w:ascii="Arial" w:eastAsia="宋体" w:hAnsi="Arial" w:cs="Arial"/>
          <w:color w:val="555555"/>
          <w:kern w:val="0"/>
          <w:szCs w:val="21"/>
        </w:rPr>
        <w:t>2</w:t>
      </w:r>
      <w:r w:rsidRPr="00A82F5E">
        <w:rPr>
          <w:rFonts w:ascii="Arial" w:eastAsia="宋体" w:hAnsi="Arial" w:cs="Arial"/>
          <w:color w:val="555555"/>
          <w:kern w:val="0"/>
          <w:szCs w:val="21"/>
        </w:rPr>
        <w:t>号集合资产管理计划发行事宜公告如下：</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469"/>
        <w:gridCol w:w="6853"/>
      </w:tblGrid>
      <w:tr w:rsidR="00A82F5E" w:rsidRPr="00A82F5E" w:rsidTr="00A82F5E">
        <w:tc>
          <w:tcPr>
            <w:tcW w:w="8325" w:type="dxa"/>
            <w:gridSpan w:val="2"/>
            <w:tcBorders>
              <w:top w:val="outset" w:sz="6" w:space="0" w:color="000000"/>
              <w:left w:val="outset" w:sz="6" w:space="0" w:color="000000"/>
              <w:bottom w:val="outset" w:sz="6" w:space="0" w:color="000000"/>
              <w:right w:val="outset" w:sz="6" w:space="0" w:color="000000"/>
            </w:tcBorders>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长江资管乐享季季盈</w:t>
            </w:r>
            <w:r w:rsidRPr="00A82F5E">
              <w:rPr>
                <w:rFonts w:ascii="Arial" w:eastAsia="宋体" w:hAnsi="Arial" w:cs="Arial"/>
                <w:color w:val="555555"/>
                <w:kern w:val="0"/>
                <w:sz w:val="18"/>
                <w:szCs w:val="18"/>
              </w:rPr>
              <w:t>2</w:t>
            </w:r>
            <w:r w:rsidRPr="00A82F5E">
              <w:rPr>
                <w:rFonts w:ascii="Arial" w:eastAsia="宋体" w:hAnsi="Arial" w:cs="Arial"/>
                <w:color w:val="555555"/>
                <w:kern w:val="0"/>
                <w:sz w:val="18"/>
                <w:szCs w:val="18"/>
              </w:rPr>
              <w:t>号集合资产管理计划</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产品代码</w:t>
            </w:r>
          </w:p>
        </w:tc>
        <w:tc>
          <w:tcPr>
            <w:tcW w:w="6855" w:type="dxa"/>
            <w:tcBorders>
              <w:top w:val="outset" w:sz="6" w:space="0" w:color="000000"/>
              <w:left w:val="outset" w:sz="6" w:space="0" w:color="000000"/>
              <w:bottom w:val="outset" w:sz="6" w:space="0" w:color="000000"/>
              <w:right w:val="outset" w:sz="6" w:space="0" w:color="000000"/>
            </w:tcBorders>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895822</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管理人</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长江证券（上海）资产管理有限公司</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托管人</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交通银行股份有限公司深圳分行</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推广机构</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长江证券、长江资管直销</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发行规模</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本集合计划推广期规模上限</w:t>
            </w:r>
            <w:r w:rsidRPr="00A82F5E">
              <w:rPr>
                <w:rFonts w:ascii="Arial" w:eastAsia="宋体" w:hAnsi="Arial" w:cs="Arial"/>
                <w:color w:val="555555"/>
                <w:kern w:val="0"/>
                <w:sz w:val="18"/>
                <w:szCs w:val="18"/>
              </w:rPr>
              <w:t>50</w:t>
            </w:r>
            <w:r w:rsidRPr="00A82F5E">
              <w:rPr>
                <w:rFonts w:ascii="Arial" w:eastAsia="宋体" w:hAnsi="Arial" w:cs="Arial"/>
                <w:color w:val="555555"/>
                <w:kern w:val="0"/>
                <w:sz w:val="18"/>
                <w:szCs w:val="18"/>
              </w:rPr>
              <w:t>亿。集合计划的总参与人数不超过</w:t>
            </w:r>
            <w:r w:rsidRPr="00A82F5E">
              <w:rPr>
                <w:rFonts w:ascii="Arial" w:eastAsia="宋体" w:hAnsi="Arial" w:cs="Arial"/>
                <w:color w:val="555555"/>
                <w:kern w:val="0"/>
                <w:sz w:val="18"/>
                <w:szCs w:val="18"/>
              </w:rPr>
              <w:t>200</w:t>
            </w:r>
            <w:r w:rsidRPr="00A82F5E">
              <w:rPr>
                <w:rFonts w:ascii="Arial" w:eastAsia="宋体" w:hAnsi="Arial" w:cs="Arial"/>
                <w:color w:val="555555"/>
                <w:kern w:val="0"/>
                <w:sz w:val="18"/>
                <w:szCs w:val="18"/>
              </w:rPr>
              <w:t>人。</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推广时间</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2017</w:t>
            </w:r>
            <w:r w:rsidRPr="00A82F5E">
              <w:rPr>
                <w:rFonts w:ascii="Arial" w:eastAsia="宋体" w:hAnsi="Arial" w:cs="Arial"/>
                <w:color w:val="555555"/>
                <w:kern w:val="0"/>
                <w:sz w:val="18"/>
                <w:szCs w:val="18"/>
              </w:rPr>
              <w:t>年</w:t>
            </w:r>
            <w:r w:rsidRPr="00A82F5E">
              <w:rPr>
                <w:rFonts w:ascii="Arial" w:eastAsia="宋体" w:hAnsi="Arial" w:cs="Arial"/>
                <w:color w:val="555555"/>
                <w:kern w:val="0"/>
                <w:sz w:val="18"/>
                <w:szCs w:val="18"/>
              </w:rPr>
              <w:t>5</w:t>
            </w:r>
            <w:r w:rsidRPr="00A82F5E">
              <w:rPr>
                <w:rFonts w:ascii="Arial" w:eastAsia="宋体" w:hAnsi="Arial" w:cs="Arial"/>
                <w:color w:val="555555"/>
                <w:kern w:val="0"/>
                <w:sz w:val="18"/>
                <w:szCs w:val="18"/>
              </w:rPr>
              <w:t>月</w:t>
            </w:r>
            <w:r w:rsidRPr="00A82F5E">
              <w:rPr>
                <w:rFonts w:ascii="Arial" w:eastAsia="宋体" w:hAnsi="Arial" w:cs="Arial"/>
                <w:color w:val="555555"/>
                <w:kern w:val="0"/>
                <w:sz w:val="18"/>
                <w:szCs w:val="18"/>
              </w:rPr>
              <w:t>22</w:t>
            </w:r>
            <w:r w:rsidRPr="00A82F5E">
              <w:rPr>
                <w:rFonts w:ascii="Arial" w:eastAsia="宋体" w:hAnsi="Arial" w:cs="Arial"/>
                <w:color w:val="555555"/>
                <w:kern w:val="0"/>
                <w:sz w:val="18"/>
                <w:szCs w:val="18"/>
              </w:rPr>
              <w:t>日至</w:t>
            </w:r>
            <w:r w:rsidRPr="00A82F5E">
              <w:rPr>
                <w:rFonts w:ascii="Arial" w:eastAsia="宋体" w:hAnsi="Arial" w:cs="Arial"/>
                <w:color w:val="555555"/>
                <w:kern w:val="0"/>
                <w:sz w:val="18"/>
                <w:szCs w:val="18"/>
              </w:rPr>
              <w:t>2017</w:t>
            </w:r>
            <w:r w:rsidRPr="00A82F5E">
              <w:rPr>
                <w:rFonts w:ascii="Arial" w:eastAsia="宋体" w:hAnsi="Arial" w:cs="Arial"/>
                <w:color w:val="555555"/>
                <w:kern w:val="0"/>
                <w:sz w:val="18"/>
                <w:szCs w:val="18"/>
              </w:rPr>
              <w:t>年</w:t>
            </w:r>
            <w:r w:rsidRPr="00A82F5E">
              <w:rPr>
                <w:rFonts w:ascii="Arial" w:eastAsia="宋体" w:hAnsi="Arial" w:cs="Arial"/>
                <w:color w:val="555555"/>
                <w:kern w:val="0"/>
                <w:sz w:val="18"/>
                <w:szCs w:val="18"/>
              </w:rPr>
              <w:t>5</w:t>
            </w:r>
            <w:r w:rsidRPr="00A82F5E">
              <w:rPr>
                <w:rFonts w:ascii="Arial" w:eastAsia="宋体" w:hAnsi="Arial" w:cs="Arial"/>
                <w:color w:val="555555"/>
                <w:kern w:val="0"/>
                <w:sz w:val="18"/>
                <w:szCs w:val="18"/>
              </w:rPr>
              <w:t>月</w:t>
            </w:r>
            <w:r w:rsidRPr="00A82F5E">
              <w:rPr>
                <w:rFonts w:ascii="Arial" w:eastAsia="宋体" w:hAnsi="Arial" w:cs="Arial"/>
                <w:color w:val="555555"/>
                <w:kern w:val="0"/>
                <w:sz w:val="18"/>
                <w:szCs w:val="18"/>
              </w:rPr>
              <w:t>23</w:t>
            </w:r>
            <w:r w:rsidRPr="00A82F5E">
              <w:rPr>
                <w:rFonts w:ascii="Arial" w:eastAsia="宋体" w:hAnsi="Arial" w:cs="Arial"/>
                <w:color w:val="555555"/>
                <w:kern w:val="0"/>
                <w:sz w:val="18"/>
                <w:szCs w:val="18"/>
              </w:rPr>
              <w:t>日</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存续期</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本集合计划不设固定管理期限。</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预约期</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本集合计划开放日前五个工作日为预约期，具体见管理人公告。</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开放期</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本集合计划自成立之日起原则上每</w:t>
            </w:r>
            <w:r w:rsidRPr="00A82F5E">
              <w:rPr>
                <w:rFonts w:ascii="Arial" w:eastAsia="宋体" w:hAnsi="Arial" w:cs="Arial"/>
                <w:color w:val="555555"/>
                <w:kern w:val="0"/>
                <w:sz w:val="18"/>
                <w:szCs w:val="18"/>
              </w:rPr>
              <w:t>3</w:t>
            </w:r>
            <w:r w:rsidRPr="00A82F5E">
              <w:rPr>
                <w:rFonts w:ascii="Arial" w:eastAsia="宋体" w:hAnsi="Arial" w:cs="Arial"/>
                <w:color w:val="555555"/>
                <w:kern w:val="0"/>
                <w:sz w:val="18"/>
                <w:szCs w:val="18"/>
              </w:rPr>
              <w:t>个月开放一次，具体开放期以管理人公告为准。开放期当日统一办理委托人有效的预约参与、预约退出和参与申请，开放期当日可接收委托人参与申请，不接受委托人的退出申请。</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单位面值</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人民币</w:t>
            </w:r>
            <w:r w:rsidRPr="00A82F5E">
              <w:rPr>
                <w:rFonts w:ascii="Arial" w:eastAsia="宋体" w:hAnsi="Arial" w:cs="Arial"/>
                <w:color w:val="555555"/>
                <w:kern w:val="0"/>
                <w:sz w:val="18"/>
                <w:szCs w:val="18"/>
              </w:rPr>
              <w:t>1.00</w:t>
            </w:r>
            <w:r w:rsidRPr="00A82F5E">
              <w:rPr>
                <w:rFonts w:ascii="Arial" w:eastAsia="宋体" w:hAnsi="Arial" w:cs="Arial"/>
                <w:color w:val="555555"/>
                <w:kern w:val="0"/>
                <w:sz w:val="18"/>
                <w:szCs w:val="18"/>
              </w:rPr>
              <w:t>元</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最低金额</w:t>
            </w:r>
          </w:p>
        </w:tc>
        <w:tc>
          <w:tcPr>
            <w:tcW w:w="6855" w:type="dxa"/>
            <w:tcBorders>
              <w:top w:val="outset" w:sz="6" w:space="0" w:color="000000"/>
              <w:left w:val="outset" w:sz="6" w:space="0" w:color="000000"/>
              <w:bottom w:val="outset" w:sz="6" w:space="0" w:color="000000"/>
              <w:right w:val="outset" w:sz="6" w:space="0" w:color="000000"/>
            </w:tcBorders>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首次参与的最低金额为人民币</w:t>
            </w:r>
            <w:r w:rsidRPr="00A82F5E">
              <w:rPr>
                <w:rFonts w:ascii="Arial" w:eastAsia="宋体" w:hAnsi="Arial" w:cs="Arial"/>
                <w:color w:val="555555"/>
                <w:kern w:val="0"/>
                <w:sz w:val="18"/>
                <w:szCs w:val="18"/>
              </w:rPr>
              <w:t>100</w:t>
            </w:r>
            <w:r w:rsidRPr="00A82F5E">
              <w:rPr>
                <w:rFonts w:ascii="Arial" w:eastAsia="宋体" w:hAnsi="Arial" w:cs="Arial"/>
                <w:color w:val="555555"/>
                <w:kern w:val="0"/>
                <w:sz w:val="18"/>
                <w:szCs w:val="18"/>
              </w:rPr>
              <w:t>万元，追加参与的最低金额为人民币</w:t>
            </w:r>
            <w:r w:rsidRPr="00A82F5E">
              <w:rPr>
                <w:rFonts w:ascii="Arial" w:eastAsia="宋体" w:hAnsi="Arial" w:cs="Arial"/>
                <w:color w:val="555555"/>
                <w:kern w:val="0"/>
                <w:sz w:val="18"/>
                <w:szCs w:val="18"/>
              </w:rPr>
              <w:t>1</w:t>
            </w:r>
            <w:r w:rsidRPr="00A82F5E">
              <w:rPr>
                <w:rFonts w:ascii="Arial" w:eastAsia="宋体" w:hAnsi="Arial" w:cs="Arial"/>
                <w:color w:val="555555"/>
                <w:kern w:val="0"/>
                <w:sz w:val="18"/>
                <w:szCs w:val="18"/>
              </w:rPr>
              <w:t>万元，参与金额级差为</w:t>
            </w:r>
            <w:r w:rsidRPr="00A82F5E">
              <w:rPr>
                <w:rFonts w:ascii="Arial" w:eastAsia="宋体" w:hAnsi="Arial" w:cs="Arial"/>
                <w:color w:val="555555"/>
                <w:kern w:val="0"/>
                <w:sz w:val="18"/>
                <w:szCs w:val="18"/>
              </w:rPr>
              <w:t>1000</w:t>
            </w:r>
            <w:r w:rsidRPr="00A82F5E">
              <w:rPr>
                <w:rFonts w:ascii="Arial" w:eastAsia="宋体" w:hAnsi="Arial" w:cs="Arial"/>
                <w:color w:val="555555"/>
                <w:kern w:val="0"/>
                <w:sz w:val="18"/>
                <w:szCs w:val="18"/>
              </w:rPr>
              <w:t>元人民币。</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业绩比较基准</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5.00%/</w:t>
            </w:r>
            <w:r w:rsidRPr="00A82F5E">
              <w:rPr>
                <w:rFonts w:ascii="Arial" w:eastAsia="宋体" w:hAnsi="Arial" w:cs="Arial"/>
                <w:color w:val="555555"/>
                <w:kern w:val="0"/>
                <w:sz w:val="18"/>
                <w:szCs w:val="18"/>
              </w:rPr>
              <w:t>年</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参与方式</w:t>
            </w:r>
          </w:p>
        </w:tc>
        <w:tc>
          <w:tcPr>
            <w:tcW w:w="6855" w:type="dxa"/>
            <w:tcBorders>
              <w:top w:val="outset" w:sz="6" w:space="0" w:color="000000"/>
              <w:left w:val="outset" w:sz="6" w:space="0" w:color="000000"/>
              <w:bottom w:val="outset" w:sz="6" w:space="0" w:color="000000"/>
              <w:right w:val="outset" w:sz="6" w:space="0" w:color="000000"/>
            </w:tcBorders>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1</w:t>
            </w:r>
            <w:r w:rsidRPr="00A82F5E">
              <w:rPr>
                <w:rFonts w:ascii="Arial" w:eastAsia="宋体" w:hAnsi="Arial" w:cs="Arial"/>
                <w:color w:val="555555"/>
                <w:kern w:val="0"/>
                <w:sz w:val="18"/>
                <w:szCs w:val="18"/>
              </w:rPr>
              <w:t>）投资者按推广机构的具体安排，在规定的交易时间段内办理；</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2</w:t>
            </w:r>
            <w:r w:rsidRPr="00A82F5E">
              <w:rPr>
                <w:rFonts w:ascii="Arial" w:eastAsia="宋体" w:hAnsi="Arial" w:cs="Arial"/>
                <w:color w:val="555555"/>
                <w:kern w:val="0"/>
                <w:sz w:val="18"/>
                <w:szCs w:val="18"/>
              </w:rPr>
              <w:t>）投资者应开设推广机构认可的交易账户，并在交易账户备足认购</w:t>
            </w: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申购的货币资金；若交易账户内参与资金不足，推广机构不受理该笔参与申请；</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3</w:t>
            </w:r>
            <w:r w:rsidRPr="00A82F5E">
              <w:rPr>
                <w:rFonts w:ascii="Arial" w:eastAsia="宋体" w:hAnsi="Arial" w:cs="Arial"/>
                <w:color w:val="555555"/>
                <w:kern w:val="0"/>
                <w:sz w:val="18"/>
                <w:szCs w:val="18"/>
              </w:rPr>
              <w:t>）以纸质方式签署的，投资者签署本合同和风险提示书后，方可申请参与集合计划。参与申请经管理人确认有效后，构成本合同的有效组成部分；</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以电子方式签署的，投资者同意以电子签名方式签署本合同后，既可以到集合计划推广机构指定营业网点的柜台申请参与集合计划，也可以登录推广机构指定网络系统以自主下单的方式申请参与集合计划。参与申请经管理人确认有效后，构成本合同的有效组成部分；</w:t>
            </w:r>
            <w:r w:rsidRPr="00A82F5E">
              <w:rPr>
                <w:rFonts w:ascii="Arial" w:eastAsia="宋体" w:hAnsi="Arial" w:cs="Arial"/>
                <w:color w:val="555555"/>
                <w:kern w:val="0"/>
                <w:sz w:val="18"/>
                <w:szCs w:val="18"/>
              </w:rPr>
              <w:t xml:space="preserve"> </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4</w:t>
            </w:r>
            <w:r w:rsidRPr="00A82F5E">
              <w:rPr>
                <w:rFonts w:ascii="Arial" w:eastAsia="宋体" w:hAnsi="Arial" w:cs="Arial"/>
                <w:color w:val="555555"/>
                <w:kern w:val="0"/>
                <w:sz w:val="18"/>
                <w:szCs w:val="18"/>
              </w:rPr>
              <w:t>）投资者参与申请确认成功后，其参与申请和参与资金不得撤销；当日办理业务申请仅能在当日业务办理时间内撤销；</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5</w:t>
            </w:r>
            <w:r w:rsidRPr="00A82F5E">
              <w:rPr>
                <w:rFonts w:ascii="Arial" w:eastAsia="宋体" w:hAnsi="Arial" w:cs="Arial"/>
                <w:color w:val="555555"/>
                <w:kern w:val="0"/>
                <w:sz w:val="18"/>
                <w:szCs w:val="18"/>
              </w:rPr>
              <w:t>）投资者提交参与申请后，可于</w:t>
            </w:r>
            <w:r w:rsidRPr="00A82F5E">
              <w:rPr>
                <w:rFonts w:ascii="Arial" w:eastAsia="宋体" w:hAnsi="Arial" w:cs="Arial"/>
                <w:color w:val="555555"/>
                <w:kern w:val="0"/>
                <w:sz w:val="18"/>
                <w:szCs w:val="18"/>
              </w:rPr>
              <w:t xml:space="preserve">T+ 2 </w:t>
            </w:r>
            <w:r w:rsidRPr="00A82F5E">
              <w:rPr>
                <w:rFonts w:ascii="Arial" w:eastAsia="宋体" w:hAnsi="Arial" w:cs="Arial"/>
                <w:color w:val="555555"/>
                <w:kern w:val="0"/>
                <w:sz w:val="18"/>
                <w:szCs w:val="18"/>
              </w:rPr>
              <w:t>日（</w:t>
            </w:r>
            <w:r w:rsidRPr="00A82F5E">
              <w:rPr>
                <w:rFonts w:ascii="Arial" w:eastAsia="宋体" w:hAnsi="Arial" w:cs="Arial"/>
                <w:color w:val="555555"/>
                <w:kern w:val="0"/>
                <w:sz w:val="18"/>
                <w:szCs w:val="18"/>
              </w:rPr>
              <w:t>T</w:t>
            </w:r>
            <w:r w:rsidRPr="00A82F5E">
              <w:rPr>
                <w:rFonts w:ascii="Arial" w:eastAsia="宋体" w:hAnsi="Arial" w:cs="Arial"/>
                <w:color w:val="555555"/>
                <w:kern w:val="0"/>
                <w:sz w:val="18"/>
                <w:szCs w:val="18"/>
              </w:rPr>
              <w:t>为开放日）后在办理参与的推广机构查询参与确认情况；</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6</w:t>
            </w:r>
            <w:r w:rsidRPr="00A82F5E">
              <w:rPr>
                <w:rFonts w:ascii="Arial" w:eastAsia="宋体" w:hAnsi="Arial" w:cs="Arial"/>
                <w:color w:val="555555"/>
                <w:kern w:val="0"/>
                <w:sz w:val="18"/>
                <w:szCs w:val="18"/>
              </w:rPr>
              <w:t>）当参与申请合计超过规模上限时，管理人应当暂停接受所有委托人的参与申请，并以最高募集规模为上限，按</w:t>
            </w: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时间优先，时间相同金额大者优先</w:t>
            </w: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的原则，来确定参与成功的份额，即先参与先确认，同一时间提交的，金额大的优先确认。超过规模上限后的所有参与无效。参与规模以管理人的确认结果为准。</w:t>
            </w:r>
          </w:p>
        </w:tc>
      </w:tr>
      <w:tr w:rsidR="00A82F5E" w:rsidRPr="00A82F5E" w:rsidTr="00A82F5E">
        <w:tc>
          <w:tcPr>
            <w:tcW w:w="1470" w:type="dxa"/>
            <w:tcBorders>
              <w:top w:val="outset" w:sz="6" w:space="0" w:color="000000"/>
              <w:left w:val="outset" w:sz="6" w:space="0" w:color="000000"/>
              <w:bottom w:val="outset" w:sz="6" w:space="0" w:color="000000"/>
              <w:right w:val="outset" w:sz="6" w:space="0" w:color="000000"/>
            </w:tcBorders>
            <w:vAlign w:val="center"/>
            <w:hideMark/>
          </w:tcPr>
          <w:p w:rsidR="00A82F5E" w:rsidRPr="00A82F5E" w:rsidRDefault="00A82F5E" w:rsidP="00A82F5E">
            <w:pPr>
              <w:widowControl/>
              <w:spacing w:before="150" w:after="150" w:line="330" w:lineRule="atLeast"/>
              <w:ind w:firstLine="480"/>
              <w:jc w:val="center"/>
              <w:rPr>
                <w:rFonts w:ascii="Arial" w:eastAsia="宋体" w:hAnsi="Arial" w:cs="Arial"/>
                <w:color w:val="555555"/>
                <w:kern w:val="0"/>
                <w:sz w:val="18"/>
                <w:szCs w:val="18"/>
              </w:rPr>
            </w:pPr>
            <w:r w:rsidRPr="00A82F5E">
              <w:rPr>
                <w:rFonts w:ascii="Arial" w:eastAsia="宋体" w:hAnsi="Arial" w:cs="Arial"/>
                <w:color w:val="555555"/>
                <w:kern w:val="0"/>
                <w:sz w:val="18"/>
                <w:szCs w:val="18"/>
              </w:rPr>
              <w:t>风险提示</w:t>
            </w:r>
          </w:p>
        </w:tc>
        <w:tc>
          <w:tcPr>
            <w:tcW w:w="6855" w:type="dxa"/>
            <w:tcBorders>
              <w:top w:val="outset" w:sz="6" w:space="0" w:color="000000"/>
              <w:left w:val="outset" w:sz="6" w:space="0" w:color="000000"/>
              <w:bottom w:val="outset" w:sz="6" w:space="0" w:color="000000"/>
              <w:right w:val="outset" w:sz="6" w:space="0" w:color="000000"/>
            </w:tcBorders>
            <w:hideMark/>
          </w:tcPr>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1</w:t>
            </w:r>
            <w:r w:rsidRPr="00A82F5E">
              <w:rPr>
                <w:rFonts w:ascii="Arial" w:eastAsia="宋体" w:hAnsi="Arial" w:cs="Arial"/>
                <w:color w:val="555555"/>
                <w:kern w:val="0"/>
                <w:sz w:val="18"/>
                <w:szCs w:val="18"/>
              </w:rPr>
              <w:t>、可转债投资的主要风险有标的股票价格波动的风险、利息损失风险以及提前赎回的风险。</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1</w:t>
            </w:r>
            <w:r w:rsidRPr="00A82F5E">
              <w:rPr>
                <w:rFonts w:ascii="Arial" w:eastAsia="宋体" w:hAnsi="Arial" w:cs="Arial"/>
                <w:color w:val="555555"/>
                <w:kern w:val="0"/>
                <w:sz w:val="18"/>
                <w:szCs w:val="18"/>
              </w:rPr>
              <w:t>）可转债标的股票价格波动的风险。由于可转债隐含了期权价值，可转债持有者拥有在可转债到期日前把债券转换成标的股票，因此可转债标的股票价格波动会影响可转债的投资价值。</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2</w:t>
            </w:r>
            <w:r w:rsidRPr="00A82F5E">
              <w:rPr>
                <w:rFonts w:ascii="Arial" w:eastAsia="宋体" w:hAnsi="Arial" w:cs="Arial"/>
                <w:color w:val="555555"/>
                <w:kern w:val="0"/>
                <w:sz w:val="18"/>
                <w:szCs w:val="18"/>
              </w:rPr>
              <w:t>）利息损失风险。当股价下跌到转换价格以下时，可转债投资者被迫转为债券投资者。因可转债利率一般低于同等级的普通债券利率，所以会给集合计划带来利息损失。</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3</w:t>
            </w:r>
            <w:r w:rsidRPr="00A82F5E">
              <w:rPr>
                <w:rFonts w:ascii="Arial" w:eastAsia="宋体" w:hAnsi="Arial" w:cs="Arial"/>
                <w:color w:val="555555"/>
                <w:kern w:val="0"/>
                <w:sz w:val="18"/>
                <w:szCs w:val="18"/>
              </w:rPr>
              <w:t>）提前赎回的风险。大部分可转债都规定了发行者可以在发行一段时间之后，以某一价格赎回债券，限定了可转债投资的最高收益率。</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2</w:t>
            </w:r>
            <w:r w:rsidRPr="00A82F5E">
              <w:rPr>
                <w:rFonts w:ascii="Arial" w:eastAsia="宋体" w:hAnsi="Arial" w:cs="Arial"/>
                <w:color w:val="555555"/>
                <w:kern w:val="0"/>
                <w:sz w:val="18"/>
                <w:szCs w:val="18"/>
              </w:rPr>
              <w:t>、采用预约退出的风险</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委托人如需在开放日退出，则需在开放日前的</w:t>
            </w:r>
            <w:r w:rsidRPr="00A82F5E">
              <w:rPr>
                <w:rFonts w:ascii="Arial" w:eastAsia="宋体" w:hAnsi="Arial" w:cs="Arial"/>
                <w:color w:val="555555"/>
                <w:kern w:val="0"/>
                <w:sz w:val="18"/>
                <w:szCs w:val="18"/>
              </w:rPr>
              <w:t>5</w:t>
            </w:r>
            <w:r w:rsidRPr="00A82F5E">
              <w:rPr>
                <w:rFonts w:ascii="Arial" w:eastAsia="宋体" w:hAnsi="Arial" w:cs="Arial"/>
                <w:color w:val="555555"/>
                <w:kern w:val="0"/>
                <w:sz w:val="18"/>
                <w:szCs w:val="18"/>
              </w:rPr>
              <w:t>个工作日内以通过推广机构指定的方式提交预约退出申请，有效预约申请退出于该开放日自动转为正式申请</w:t>
            </w:r>
            <w:r w:rsidRPr="00A82F5E">
              <w:rPr>
                <w:rFonts w:ascii="Arial" w:eastAsia="宋体" w:hAnsi="Arial" w:cs="Arial"/>
                <w:color w:val="555555"/>
                <w:kern w:val="0"/>
                <w:sz w:val="18"/>
                <w:szCs w:val="18"/>
              </w:rPr>
              <w:t>,</w:t>
            </w:r>
            <w:r w:rsidRPr="00A82F5E">
              <w:rPr>
                <w:rFonts w:ascii="Arial" w:eastAsia="宋体" w:hAnsi="Arial" w:cs="Arial"/>
                <w:color w:val="555555"/>
                <w:kern w:val="0"/>
                <w:sz w:val="18"/>
                <w:szCs w:val="18"/>
              </w:rPr>
              <w:t>未经预约的，管理人有权拒绝该次退出申请，退出价格为该开放日的集合计划单位净值。请投资者注意。</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3</w:t>
            </w:r>
            <w:r w:rsidRPr="00A82F5E">
              <w:rPr>
                <w:rFonts w:ascii="Arial" w:eastAsia="宋体" w:hAnsi="Arial" w:cs="Arial"/>
                <w:color w:val="555555"/>
                <w:kern w:val="0"/>
                <w:sz w:val="18"/>
                <w:szCs w:val="18"/>
              </w:rPr>
              <w:t>、本计划如果在中国证券投资基金业协会备案未通过，则需要按照监管机构或自律协会的要求修改本合同或提前终止本计划。本计划在前述情形下存在需修改合同或提前终止的风险。请投资者注意。</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4</w:t>
            </w:r>
            <w:r w:rsidRPr="00A82F5E">
              <w:rPr>
                <w:rFonts w:ascii="Arial" w:eastAsia="宋体" w:hAnsi="Arial" w:cs="Arial"/>
                <w:color w:val="555555"/>
                <w:kern w:val="0"/>
                <w:sz w:val="18"/>
                <w:szCs w:val="18"/>
              </w:rPr>
              <w:t>、本计划设置了最低保留份额限制。当客户因某笔退出导致在该推广机构账户余额中集合计划份额不足</w:t>
            </w:r>
            <w:r w:rsidRPr="00A82F5E">
              <w:rPr>
                <w:rFonts w:ascii="Arial" w:eastAsia="宋体" w:hAnsi="Arial" w:cs="Arial"/>
                <w:color w:val="555555"/>
                <w:kern w:val="0"/>
                <w:sz w:val="18"/>
                <w:szCs w:val="18"/>
              </w:rPr>
              <w:t>1</w:t>
            </w:r>
            <w:r w:rsidRPr="00A82F5E">
              <w:rPr>
                <w:rFonts w:ascii="Arial" w:eastAsia="宋体" w:hAnsi="Arial" w:cs="Arial"/>
                <w:color w:val="555555"/>
                <w:kern w:val="0"/>
                <w:sz w:val="18"/>
                <w:szCs w:val="18"/>
              </w:rPr>
              <w:t>万份的，余额部分将强制一同退出。请投资者注意。</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5</w:t>
            </w:r>
            <w:r w:rsidRPr="00A82F5E">
              <w:rPr>
                <w:rFonts w:ascii="Arial" w:eastAsia="宋体" w:hAnsi="Arial" w:cs="Arial"/>
                <w:color w:val="555555"/>
                <w:kern w:val="0"/>
                <w:sz w:val="18"/>
                <w:szCs w:val="18"/>
              </w:rPr>
              <w:t>、本计划关于暂停退出的情况及处理方式的安排中，管理人可以暂停接受委托人的退出申请，因此，委托人可能面临份额暂时不能退出的风险。请投资者注意。</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6</w:t>
            </w:r>
            <w:r w:rsidRPr="00A82F5E">
              <w:rPr>
                <w:rFonts w:ascii="Arial" w:eastAsia="宋体" w:hAnsi="Arial" w:cs="Arial"/>
                <w:color w:val="555555"/>
                <w:kern w:val="0"/>
                <w:sz w:val="18"/>
                <w:szCs w:val="18"/>
              </w:rPr>
              <w:t>、本计划关于合同修改或变更的安排中，集合计划存续期内当法律法规或有关政策发生变化时，管理人与托管人协商后可以对集合计划合同及说明书与新的法律法规或有关政策不一致的内容进行更新或修改。</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由于其他原因需要变更本合同的，在征得托管人的同意后，在管理人网站向委托人公告，并保留委托人退出的权利。委托人未在公告约定时间内将集合计划份额全部退出的，视为同意合同变更。请投资者注意关注管理人网站的公告信息。特别开放期退出的委托人份额，不享有有限补偿。请委托人知悉。</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7</w:t>
            </w:r>
            <w:r w:rsidRPr="00A82F5E">
              <w:rPr>
                <w:rFonts w:ascii="Arial" w:eastAsia="宋体" w:hAnsi="Arial" w:cs="Arial"/>
                <w:color w:val="555555"/>
                <w:kern w:val="0"/>
                <w:sz w:val="18"/>
                <w:szCs w:val="18"/>
              </w:rPr>
              <w:t>、使用电子签名合同的风险</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若本集合计划资产管理合同采用电子签名方式签署，可能存在因网络中断或不运作、传送安全系统失灵、系统遭受非法攻击等多种因素造成数据的损坏或丢失。</w:t>
            </w:r>
          </w:p>
          <w:p w:rsidR="00A82F5E" w:rsidRPr="00A82F5E" w:rsidRDefault="00A82F5E" w:rsidP="00A82F5E">
            <w:pPr>
              <w:widowControl/>
              <w:spacing w:before="150" w:after="150" w:line="330" w:lineRule="atLeast"/>
              <w:ind w:firstLine="480"/>
              <w:jc w:val="left"/>
              <w:rPr>
                <w:rFonts w:ascii="Arial" w:eastAsia="宋体" w:hAnsi="Arial" w:cs="Arial"/>
                <w:color w:val="555555"/>
                <w:kern w:val="0"/>
                <w:sz w:val="18"/>
                <w:szCs w:val="18"/>
              </w:rPr>
            </w:pPr>
            <w:r w:rsidRPr="00A82F5E">
              <w:rPr>
                <w:rFonts w:ascii="Arial" w:eastAsia="宋体" w:hAnsi="Arial" w:cs="Arial"/>
                <w:color w:val="555555"/>
                <w:kern w:val="0"/>
                <w:sz w:val="18"/>
                <w:szCs w:val="18"/>
              </w:rPr>
              <w:t>详细的风险揭示请投资者注意阅读资产管理合同及风险揭示书。</w:t>
            </w:r>
          </w:p>
        </w:tc>
      </w:tr>
    </w:tbl>
    <w:p w:rsidR="00A82F5E" w:rsidRPr="00A82F5E" w:rsidRDefault="00A82F5E" w:rsidP="00A82F5E">
      <w:pPr>
        <w:widowControl/>
        <w:shd w:val="clear" w:color="auto" w:fill="FFFFFF"/>
        <w:spacing w:before="150" w:after="150" w:line="360" w:lineRule="atLeast"/>
        <w:ind w:firstLine="480"/>
        <w:jc w:val="left"/>
        <w:rPr>
          <w:rFonts w:ascii="Arial" w:eastAsia="宋体" w:hAnsi="Arial" w:cs="Arial"/>
          <w:color w:val="555555"/>
          <w:kern w:val="0"/>
          <w:szCs w:val="21"/>
        </w:rPr>
      </w:pPr>
      <w:r w:rsidRPr="00A82F5E">
        <w:rPr>
          <w:rFonts w:ascii="Arial" w:eastAsia="宋体" w:hAnsi="Arial" w:cs="Arial"/>
          <w:color w:val="555555"/>
          <w:kern w:val="0"/>
          <w:szCs w:val="21"/>
        </w:rPr>
        <w:t>投资者可登录管理人网站</w:t>
      </w:r>
      <w:r w:rsidRPr="00A82F5E">
        <w:rPr>
          <w:rFonts w:ascii="Arial" w:eastAsia="宋体" w:hAnsi="Arial" w:cs="Arial"/>
          <w:color w:val="555555"/>
          <w:kern w:val="0"/>
          <w:szCs w:val="21"/>
        </w:rPr>
        <w:t>www.cjzcgl.com</w:t>
      </w:r>
      <w:r w:rsidRPr="00A82F5E">
        <w:rPr>
          <w:rFonts w:ascii="Arial" w:eastAsia="宋体" w:hAnsi="Arial" w:cs="Arial"/>
          <w:color w:val="555555"/>
          <w:kern w:val="0"/>
          <w:szCs w:val="21"/>
        </w:rPr>
        <w:t>或拨打客服热线</w:t>
      </w:r>
      <w:r w:rsidRPr="00A82F5E">
        <w:rPr>
          <w:rFonts w:ascii="Arial" w:eastAsia="宋体" w:hAnsi="Arial" w:cs="Arial"/>
          <w:color w:val="555555"/>
          <w:kern w:val="0"/>
          <w:szCs w:val="21"/>
        </w:rPr>
        <w:t>021-80301262</w:t>
      </w:r>
      <w:r w:rsidRPr="00A82F5E">
        <w:rPr>
          <w:rFonts w:ascii="Arial" w:eastAsia="宋体" w:hAnsi="Arial" w:cs="Arial"/>
          <w:color w:val="555555"/>
          <w:kern w:val="0"/>
          <w:szCs w:val="21"/>
        </w:rPr>
        <w:t>查询本集合计划详细信息。</w:t>
      </w:r>
    </w:p>
    <w:p w:rsidR="00A82F5E" w:rsidRPr="00A82F5E" w:rsidRDefault="00A82F5E" w:rsidP="00A82F5E">
      <w:pPr>
        <w:widowControl/>
        <w:shd w:val="clear" w:color="auto" w:fill="FFFFFF"/>
        <w:spacing w:before="150" w:after="150" w:line="360" w:lineRule="atLeast"/>
        <w:ind w:firstLine="480"/>
        <w:jc w:val="left"/>
        <w:rPr>
          <w:rFonts w:ascii="Arial" w:eastAsia="宋体" w:hAnsi="Arial" w:cs="Arial"/>
          <w:color w:val="555555"/>
          <w:kern w:val="0"/>
          <w:szCs w:val="21"/>
        </w:rPr>
      </w:pPr>
      <w:r w:rsidRPr="00A82F5E">
        <w:rPr>
          <w:rFonts w:ascii="Arial" w:eastAsia="宋体" w:hAnsi="Arial" w:cs="Arial"/>
          <w:color w:val="555555"/>
          <w:kern w:val="0"/>
          <w:szCs w:val="21"/>
        </w:rPr>
        <w:t>特此公告。</w:t>
      </w:r>
    </w:p>
    <w:p w:rsidR="00A82F5E" w:rsidRPr="00A82F5E" w:rsidRDefault="00A82F5E" w:rsidP="00A82F5E">
      <w:pPr>
        <w:widowControl/>
        <w:shd w:val="clear" w:color="auto" w:fill="FFFFFF"/>
        <w:spacing w:before="150" w:after="150" w:line="360" w:lineRule="atLeast"/>
        <w:ind w:firstLine="480"/>
        <w:jc w:val="left"/>
        <w:rPr>
          <w:rFonts w:ascii="Arial" w:eastAsia="宋体" w:hAnsi="Arial" w:cs="Arial"/>
          <w:color w:val="555555"/>
          <w:kern w:val="0"/>
          <w:szCs w:val="21"/>
        </w:rPr>
      </w:pPr>
      <w:r w:rsidRPr="00A82F5E">
        <w:rPr>
          <w:rFonts w:ascii="Arial" w:eastAsia="宋体" w:hAnsi="Arial" w:cs="Arial"/>
          <w:color w:val="555555"/>
          <w:kern w:val="0"/>
          <w:szCs w:val="21"/>
        </w:rPr>
        <w:t> </w:t>
      </w:r>
    </w:p>
    <w:p w:rsidR="00A82F5E" w:rsidRPr="00A82F5E" w:rsidRDefault="00A82F5E" w:rsidP="00A82F5E">
      <w:pPr>
        <w:widowControl/>
        <w:shd w:val="clear" w:color="auto" w:fill="FFFFFF"/>
        <w:spacing w:before="150" w:after="150" w:line="360" w:lineRule="atLeast"/>
        <w:ind w:firstLine="480"/>
        <w:jc w:val="left"/>
        <w:rPr>
          <w:rFonts w:ascii="Arial" w:eastAsia="宋体" w:hAnsi="Arial" w:cs="Arial"/>
          <w:color w:val="555555"/>
          <w:kern w:val="0"/>
          <w:szCs w:val="21"/>
        </w:rPr>
      </w:pPr>
      <w:r w:rsidRPr="00A82F5E">
        <w:rPr>
          <w:rFonts w:ascii="Arial" w:eastAsia="宋体" w:hAnsi="Arial" w:cs="Arial"/>
          <w:color w:val="555555"/>
          <w:kern w:val="0"/>
          <w:szCs w:val="21"/>
        </w:rPr>
        <w:t> </w:t>
      </w:r>
    </w:p>
    <w:p w:rsidR="00A82F5E" w:rsidRPr="00A82F5E" w:rsidRDefault="00A82F5E" w:rsidP="00A82F5E">
      <w:pPr>
        <w:widowControl/>
        <w:shd w:val="clear" w:color="auto" w:fill="FFFFFF"/>
        <w:spacing w:before="150" w:after="150" w:line="360" w:lineRule="atLeast"/>
        <w:ind w:firstLine="480"/>
        <w:jc w:val="right"/>
        <w:rPr>
          <w:rFonts w:ascii="Arial" w:eastAsia="宋体" w:hAnsi="Arial" w:cs="Arial"/>
          <w:color w:val="555555"/>
          <w:kern w:val="0"/>
          <w:szCs w:val="21"/>
        </w:rPr>
      </w:pPr>
      <w:r w:rsidRPr="00A82F5E">
        <w:rPr>
          <w:rFonts w:ascii="Arial" w:eastAsia="宋体" w:hAnsi="Arial" w:cs="Arial"/>
          <w:color w:val="555555"/>
          <w:kern w:val="0"/>
          <w:szCs w:val="21"/>
        </w:rPr>
        <w:t>长江证券（上海）资产管理有限公司</w:t>
      </w:r>
    </w:p>
    <w:p w:rsidR="00A82F5E" w:rsidRPr="00A82F5E" w:rsidRDefault="00A82F5E" w:rsidP="00A82F5E">
      <w:pPr>
        <w:widowControl/>
        <w:shd w:val="clear" w:color="auto" w:fill="FFFFFF"/>
        <w:spacing w:before="150" w:after="150" w:line="360" w:lineRule="atLeast"/>
        <w:ind w:firstLine="480"/>
        <w:jc w:val="right"/>
        <w:rPr>
          <w:rFonts w:ascii="Arial" w:eastAsia="宋体" w:hAnsi="Arial" w:cs="Arial"/>
          <w:color w:val="555555"/>
          <w:kern w:val="0"/>
          <w:szCs w:val="21"/>
        </w:rPr>
      </w:pPr>
      <w:r w:rsidRPr="00A82F5E">
        <w:rPr>
          <w:rFonts w:ascii="Arial" w:eastAsia="宋体" w:hAnsi="Arial" w:cs="Arial"/>
          <w:color w:val="555555"/>
          <w:kern w:val="0"/>
          <w:szCs w:val="21"/>
        </w:rPr>
        <w:t>二</w:t>
      </w:r>
      <w:r w:rsidRPr="00A82F5E">
        <w:rPr>
          <w:rFonts w:ascii="Arial" w:eastAsia="宋体" w:hAnsi="Arial" w:cs="Arial"/>
          <w:color w:val="555555"/>
          <w:kern w:val="0"/>
          <w:szCs w:val="21"/>
        </w:rPr>
        <w:t>○</w:t>
      </w:r>
      <w:r w:rsidRPr="00A82F5E">
        <w:rPr>
          <w:rFonts w:ascii="Arial" w:eastAsia="宋体" w:hAnsi="Arial" w:cs="Arial"/>
          <w:color w:val="555555"/>
          <w:kern w:val="0"/>
          <w:szCs w:val="21"/>
        </w:rPr>
        <w:t>一七年五月二十二日</w:t>
      </w:r>
    </w:p>
    <w:p w:rsidR="009E0C9D" w:rsidRDefault="009E0C9D"/>
    <w:sectPr w:rsidR="009E0C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C9D" w:rsidRDefault="009E0C9D" w:rsidP="00A82F5E">
      <w:r>
        <w:separator/>
      </w:r>
    </w:p>
  </w:endnote>
  <w:endnote w:type="continuationSeparator" w:id="1">
    <w:p w:rsidR="009E0C9D" w:rsidRDefault="009E0C9D" w:rsidP="00A82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C9D" w:rsidRDefault="009E0C9D" w:rsidP="00A82F5E">
      <w:r>
        <w:separator/>
      </w:r>
    </w:p>
  </w:footnote>
  <w:footnote w:type="continuationSeparator" w:id="1">
    <w:p w:rsidR="009E0C9D" w:rsidRDefault="009E0C9D" w:rsidP="00A82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F5E"/>
    <w:rsid w:val="009E0C9D"/>
    <w:rsid w:val="00A82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F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2F5E"/>
    <w:rPr>
      <w:sz w:val="18"/>
      <w:szCs w:val="18"/>
    </w:rPr>
  </w:style>
  <w:style w:type="paragraph" w:styleId="a4">
    <w:name w:val="footer"/>
    <w:basedOn w:val="a"/>
    <w:link w:val="Char0"/>
    <w:uiPriority w:val="99"/>
    <w:semiHidden/>
    <w:unhideWhenUsed/>
    <w:rsid w:val="00A82F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2F5E"/>
    <w:rPr>
      <w:sz w:val="18"/>
      <w:szCs w:val="18"/>
    </w:rPr>
  </w:style>
</w:styles>
</file>

<file path=word/webSettings.xml><?xml version="1.0" encoding="utf-8"?>
<w:webSettings xmlns:r="http://schemas.openxmlformats.org/officeDocument/2006/relationships" xmlns:w="http://schemas.openxmlformats.org/wordprocessingml/2006/main">
  <w:divs>
    <w:div w:id="1926573054">
      <w:bodyDiv w:val="1"/>
      <w:marLeft w:val="0"/>
      <w:marRight w:val="0"/>
      <w:marTop w:val="0"/>
      <w:marBottom w:val="0"/>
      <w:divBdr>
        <w:top w:val="none" w:sz="0" w:space="0" w:color="auto"/>
        <w:left w:val="none" w:sz="0" w:space="0" w:color="auto"/>
        <w:bottom w:val="none" w:sz="0" w:space="0" w:color="auto"/>
        <w:right w:val="none" w:sz="0" w:space="0" w:color="auto"/>
      </w:divBdr>
      <w:divsChild>
        <w:div w:id="1733579661">
          <w:marLeft w:val="0"/>
          <w:marRight w:val="0"/>
          <w:marTop w:val="0"/>
          <w:marBottom w:val="0"/>
          <w:divBdr>
            <w:top w:val="none" w:sz="0" w:space="0" w:color="auto"/>
            <w:left w:val="none" w:sz="0" w:space="0" w:color="auto"/>
            <w:bottom w:val="none" w:sz="0" w:space="0" w:color="auto"/>
            <w:right w:val="none" w:sz="0" w:space="0" w:color="auto"/>
          </w:divBdr>
          <w:divsChild>
            <w:div w:id="49621925">
              <w:marLeft w:val="0"/>
              <w:marRight w:val="0"/>
              <w:marTop w:val="0"/>
              <w:marBottom w:val="0"/>
              <w:divBdr>
                <w:top w:val="none" w:sz="0" w:space="0" w:color="auto"/>
                <w:left w:val="none" w:sz="0" w:space="0" w:color="auto"/>
                <w:bottom w:val="none" w:sz="0" w:space="0" w:color="auto"/>
                <w:right w:val="none" w:sz="0" w:space="0" w:color="auto"/>
              </w:divBdr>
              <w:divsChild>
                <w:div w:id="358625357">
                  <w:marLeft w:val="0"/>
                  <w:marRight w:val="0"/>
                  <w:marTop w:val="0"/>
                  <w:marBottom w:val="0"/>
                  <w:divBdr>
                    <w:top w:val="none" w:sz="0" w:space="0" w:color="auto"/>
                    <w:left w:val="none" w:sz="0" w:space="0" w:color="auto"/>
                    <w:bottom w:val="none" w:sz="0" w:space="0" w:color="auto"/>
                    <w:right w:val="none" w:sz="0" w:space="0" w:color="auto"/>
                  </w:divBdr>
                  <w:divsChild>
                    <w:div w:id="2095933097">
                      <w:marLeft w:val="0"/>
                      <w:marRight w:val="0"/>
                      <w:marTop w:val="0"/>
                      <w:marBottom w:val="0"/>
                      <w:divBdr>
                        <w:top w:val="none" w:sz="0" w:space="0" w:color="auto"/>
                        <w:left w:val="single" w:sz="6" w:space="8" w:color="E2E2E2"/>
                        <w:bottom w:val="none" w:sz="0" w:space="0" w:color="auto"/>
                        <w:right w:val="single" w:sz="6" w:space="8" w:color="E2E2E2"/>
                      </w:divBdr>
                      <w:divsChild>
                        <w:div w:id="735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2017-05-25T02:39:00Z</dcterms:created>
  <dcterms:modified xsi:type="dcterms:W3CDTF">2017-05-25T02:39:00Z</dcterms:modified>
</cp:coreProperties>
</file>