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6B3" w:rsidRPr="00CF16B3" w:rsidRDefault="00CF16B3" w:rsidP="00CF16B3">
      <w:pPr>
        <w:widowControl/>
        <w:shd w:val="clear" w:color="auto" w:fill="FFFFFF"/>
        <w:spacing w:after="75" w:line="570" w:lineRule="atLeast"/>
        <w:jc w:val="center"/>
        <w:outlineLvl w:val="0"/>
        <w:rPr>
          <w:rFonts w:ascii="微软雅黑" w:eastAsia="微软雅黑" w:hAnsi="微软雅黑" w:cs="宋体"/>
          <w:b/>
          <w:bCs/>
          <w:color w:val="A00D26"/>
          <w:kern w:val="36"/>
          <w:sz w:val="24"/>
          <w:szCs w:val="24"/>
        </w:rPr>
      </w:pPr>
      <w:r w:rsidRPr="00CF16B3">
        <w:rPr>
          <w:rFonts w:ascii="微软雅黑" w:eastAsia="微软雅黑" w:hAnsi="微软雅黑" w:cs="宋体" w:hint="eastAsia"/>
          <w:b/>
          <w:bCs/>
          <w:color w:val="A00D26"/>
          <w:kern w:val="36"/>
          <w:sz w:val="24"/>
          <w:szCs w:val="24"/>
        </w:rPr>
        <w:t>关于招商</w:t>
      </w:r>
      <w:proofErr w:type="gramStart"/>
      <w:r w:rsidRPr="00CF16B3">
        <w:rPr>
          <w:rFonts w:ascii="微软雅黑" w:eastAsia="微软雅黑" w:hAnsi="微软雅黑" w:cs="宋体" w:hint="eastAsia"/>
          <w:b/>
          <w:bCs/>
          <w:color w:val="A00D26"/>
          <w:kern w:val="36"/>
          <w:sz w:val="24"/>
          <w:szCs w:val="24"/>
        </w:rPr>
        <w:t>智远瑞丰</w:t>
      </w:r>
      <w:proofErr w:type="gramEnd"/>
      <w:r w:rsidRPr="00CF16B3">
        <w:rPr>
          <w:rFonts w:ascii="微软雅黑" w:eastAsia="微软雅黑" w:hAnsi="微软雅黑" w:cs="宋体" w:hint="eastAsia"/>
          <w:b/>
          <w:bCs/>
          <w:color w:val="A00D26"/>
          <w:kern w:val="36"/>
          <w:sz w:val="24"/>
          <w:szCs w:val="24"/>
        </w:rPr>
        <w:t>双季红1号集合资产管理计划第二个封闭运作</w:t>
      </w:r>
      <w:proofErr w:type="gramStart"/>
      <w:r w:rsidRPr="00CF16B3">
        <w:rPr>
          <w:rFonts w:ascii="微软雅黑" w:eastAsia="微软雅黑" w:hAnsi="微软雅黑" w:cs="宋体" w:hint="eastAsia"/>
          <w:b/>
          <w:bCs/>
          <w:color w:val="A00D26"/>
          <w:kern w:val="36"/>
          <w:sz w:val="24"/>
          <w:szCs w:val="24"/>
        </w:rPr>
        <w:t>期业绩</w:t>
      </w:r>
      <w:proofErr w:type="gramEnd"/>
      <w:r w:rsidRPr="00CF16B3">
        <w:rPr>
          <w:rFonts w:ascii="微软雅黑" w:eastAsia="微软雅黑" w:hAnsi="微软雅黑" w:cs="宋体" w:hint="eastAsia"/>
          <w:b/>
          <w:bCs/>
          <w:color w:val="A00D26"/>
          <w:kern w:val="36"/>
          <w:sz w:val="24"/>
          <w:szCs w:val="24"/>
        </w:rPr>
        <w:t>报酬计提基准的公告</w:t>
      </w:r>
    </w:p>
    <w:p w:rsidR="00CF16B3" w:rsidRPr="00CF16B3" w:rsidRDefault="00CF16B3" w:rsidP="00CF16B3">
      <w:pPr>
        <w:widowControl/>
        <w:shd w:val="clear" w:color="auto" w:fill="FFFFFF"/>
        <w:jc w:val="center"/>
        <w:outlineLvl w:val="1"/>
        <w:rPr>
          <w:rFonts w:ascii="微软雅黑" w:eastAsia="微软雅黑" w:hAnsi="微软雅黑" w:cs="宋体" w:hint="eastAsia"/>
          <w:color w:val="4E4E4E"/>
          <w:kern w:val="0"/>
          <w:szCs w:val="21"/>
        </w:rPr>
      </w:pPr>
      <w:r w:rsidRPr="00CF16B3">
        <w:rPr>
          <w:rFonts w:ascii="微软雅黑" w:eastAsia="微软雅黑" w:hAnsi="微软雅黑" w:cs="宋体" w:hint="eastAsia"/>
          <w:color w:val="4E4E4E"/>
          <w:kern w:val="0"/>
          <w:szCs w:val="21"/>
        </w:rPr>
        <w:t>招商证券 ( 2019年04月18日 )</w:t>
      </w:r>
    </w:p>
    <w:p w:rsidR="00CF16B3" w:rsidRPr="00CF16B3" w:rsidRDefault="00CF16B3" w:rsidP="00CF16B3">
      <w:pPr>
        <w:widowControl/>
        <w:shd w:val="clear" w:color="auto" w:fill="FFFFFF"/>
        <w:jc w:val="center"/>
        <w:rPr>
          <w:rFonts w:ascii="微软雅黑" w:eastAsia="微软雅黑" w:hAnsi="微软雅黑" w:cs="宋体" w:hint="eastAsia"/>
          <w:color w:val="4E4E4E"/>
          <w:kern w:val="0"/>
          <w:szCs w:val="21"/>
        </w:rPr>
      </w:pPr>
      <w:r w:rsidRPr="00CF16B3">
        <w:rPr>
          <w:rFonts w:ascii="微软雅黑" w:eastAsia="微软雅黑" w:hAnsi="微软雅黑" w:cs="宋体" w:hint="eastAsia"/>
          <w:color w:val="4E4E4E"/>
          <w:kern w:val="0"/>
          <w:szCs w:val="21"/>
        </w:rPr>
        <w:t>【正文】</w:t>
      </w:r>
    </w:p>
    <w:p w:rsidR="00CF16B3" w:rsidRPr="00CF16B3" w:rsidRDefault="00CF16B3" w:rsidP="00CF16B3">
      <w:pPr>
        <w:widowControl/>
        <w:shd w:val="clear" w:color="auto" w:fill="FFFFFF"/>
        <w:spacing w:line="378" w:lineRule="atLeast"/>
        <w:ind w:firstLine="480"/>
        <w:jc w:val="left"/>
        <w:rPr>
          <w:rFonts w:ascii="微软雅黑" w:eastAsia="微软雅黑" w:hAnsi="微软雅黑" w:cs="宋体" w:hint="eastAsia"/>
          <w:color w:val="4E4E4E"/>
          <w:kern w:val="0"/>
          <w:szCs w:val="21"/>
        </w:rPr>
      </w:pPr>
      <w:r w:rsidRPr="00CF16B3">
        <w:rPr>
          <w:rFonts w:ascii="宋体" w:eastAsia="宋体" w:hAnsi="宋体" w:cs="宋体" w:hint="eastAsia"/>
          <w:color w:val="000000"/>
          <w:kern w:val="0"/>
          <w:sz w:val="28"/>
          <w:szCs w:val="28"/>
        </w:rPr>
        <w:t>《招商智远瑞丰双季红</w:t>
      </w:r>
      <w:r w:rsidRPr="00CF16B3">
        <w:rPr>
          <w:rFonts w:ascii="微软雅黑" w:eastAsia="微软雅黑" w:hAnsi="微软雅黑" w:cs="宋体" w:hint="eastAsia"/>
          <w:color w:val="000000"/>
          <w:kern w:val="0"/>
          <w:sz w:val="28"/>
          <w:szCs w:val="28"/>
        </w:rPr>
        <w:t>1</w:t>
      </w:r>
      <w:r w:rsidRPr="00CF16B3">
        <w:rPr>
          <w:rFonts w:ascii="宋体" w:eastAsia="宋体" w:hAnsi="宋体" w:cs="宋体" w:hint="eastAsia"/>
          <w:color w:val="000000"/>
          <w:kern w:val="0"/>
          <w:sz w:val="28"/>
          <w:szCs w:val="28"/>
        </w:rPr>
        <w:t>号集合资产管理计划资产管理合同》约定的</w:t>
      </w:r>
      <w:r w:rsidRPr="00CF16B3">
        <w:rPr>
          <w:rFonts w:ascii="微软雅黑" w:eastAsia="微软雅黑" w:hAnsi="微软雅黑" w:cs="宋体" w:hint="eastAsia"/>
          <w:color w:val="000000"/>
          <w:kern w:val="0"/>
          <w:szCs w:val="21"/>
        </w:rPr>
        <w:t> </w:t>
      </w:r>
      <w:r w:rsidRPr="00CF16B3">
        <w:rPr>
          <w:rFonts w:ascii="宋体" w:eastAsia="宋体" w:hAnsi="宋体" w:cs="宋体" w:hint="eastAsia"/>
          <w:color w:val="000000"/>
          <w:kern w:val="0"/>
          <w:sz w:val="28"/>
          <w:szCs w:val="28"/>
        </w:rPr>
        <w:t>“业绩报酬计提基准”是管理人计提业绩报酬的基准，也是管理人在运作期间投资管理努力的方向和目标。管理人在集合计划每次开放期前公告下一个封闭期的业绩报酬计提基准。</w:t>
      </w:r>
    </w:p>
    <w:p w:rsidR="00CF16B3" w:rsidRPr="00CF16B3" w:rsidRDefault="00CF16B3" w:rsidP="00CF16B3">
      <w:pPr>
        <w:widowControl/>
        <w:shd w:val="clear" w:color="auto" w:fill="FFFFFF"/>
        <w:spacing w:line="378" w:lineRule="atLeast"/>
        <w:ind w:firstLine="480"/>
        <w:jc w:val="left"/>
        <w:rPr>
          <w:rFonts w:ascii="微软雅黑" w:eastAsia="微软雅黑" w:hAnsi="微软雅黑" w:cs="宋体" w:hint="eastAsia"/>
          <w:color w:val="4E4E4E"/>
          <w:kern w:val="0"/>
          <w:szCs w:val="21"/>
        </w:rPr>
      </w:pPr>
      <w:r w:rsidRPr="00CF16B3">
        <w:rPr>
          <w:rFonts w:ascii="宋体" w:eastAsia="宋体" w:hAnsi="宋体" w:cs="宋体" w:hint="eastAsia"/>
          <w:color w:val="000000"/>
          <w:kern w:val="0"/>
          <w:sz w:val="28"/>
          <w:szCs w:val="28"/>
        </w:rPr>
        <w:t>管理人主要</w:t>
      </w:r>
      <w:proofErr w:type="gramStart"/>
      <w:r w:rsidRPr="00CF16B3">
        <w:rPr>
          <w:rFonts w:ascii="宋体" w:eastAsia="宋体" w:hAnsi="宋体" w:cs="宋体" w:hint="eastAsia"/>
          <w:color w:val="000000"/>
          <w:kern w:val="0"/>
          <w:sz w:val="28"/>
          <w:szCs w:val="28"/>
        </w:rPr>
        <w:t>依以下</w:t>
      </w:r>
      <w:proofErr w:type="gramEnd"/>
      <w:r w:rsidRPr="00CF16B3">
        <w:rPr>
          <w:rFonts w:ascii="宋体" w:eastAsia="宋体" w:hAnsi="宋体" w:cs="宋体" w:hint="eastAsia"/>
          <w:color w:val="000000"/>
          <w:kern w:val="0"/>
          <w:sz w:val="28"/>
          <w:szCs w:val="28"/>
        </w:rPr>
        <w:t>因素制定业绩报酬计提基准：（</w:t>
      </w:r>
      <w:r w:rsidRPr="00CF16B3">
        <w:rPr>
          <w:rFonts w:ascii="微软雅黑" w:eastAsia="微软雅黑" w:hAnsi="微软雅黑" w:cs="宋体" w:hint="eastAsia"/>
          <w:color w:val="000000"/>
          <w:kern w:val="0"/>
          <w:sz w:val="28"/>
          <w:szCs w:val="28"/>
        </w:rPr>
        <w:t>1</w:t>
      </w:r>
      <w:r w:rsidRPr="00CF16B3">
        <w:rPr>
          <w:rFonts w:ascii="宋体" w:eastAsia="宋体" w:hAnsi="宋体" w:cs="宋体" w:hint="eastAsia"/>
          <w:color w:val="000000"/>
          <w:kern w:val="0"/>
          <w:sz w:val="28"/>
          <w:szCs w:val="28"/>
        </w:rPr>
        <w:t>）本集合计划的投资策略；（</w:t>
      </w:r>
      <w:r w:rsidRPr="00CF16B3">
        <w:rPr>
          <w:rFonts w:ascii="微软雅黑" w:eastAsia="微软雅黑" w:hAnsi="微软雅黑" w:cs="宋体" w:hint="eastAsia"/>
          <w:color w:val="000000"/>
          <w:kern w:val="0"/>
          <w:sz w:val="28"/>
          <w:szCs w:val="28"/>
        </w:rPr>
        <w:t>2</w:t>
      </w:r>
      <w:r w:rsidRPr="00CF16B3">
        <w:rPr>
          <w:rFonts w:ascii="宋体" w:eastAsia="宋体" w:hAnsi="宋体" w:cs="宋体" w:hint="eastAsia"/>
          <w:color w:val="000000"/>
          <w:kern w:val="0"/>
          <w:sz w:val="28"/>
          <w:szCs w:val="28"/>
        </w:rPr>
        <w:t>）本集合计划拟投资或已投资的大类资产组合的比例；（</w:t>
      </w:r>
      <w:r w:rsidRPr="00CF16B3">
        <w:rPr>
          <w:rFonts w:ascii="微软雅黑" w:eastAsia="微软雅黑" w:hAnsi="微软雅黑" w:cs="宋体" w:hint="eastAsia"/>
          <w:color w:val="000000"/>
          <w:kern w:val="0"/>
          <w:sz w:val="28"/>
          <w:szCs w:val="28"/>
        </w:rPr>
        <w:t>3</w:t>
      </w:r>
      <w:r w:rsidRPr="00CF16B3">
        <w:rPr>
          <w:rFonts w:ascii="宋体" w:eastAsia="宋体" w:hAnsi="宋体" w:cs="宋体" w:hint="eastAsia"/>
          <w:color w:val="000000"/>
          <w:kern w:val="0"/>
          <w:sz w:val="28"/>
          <w:szCs w:val="28"/>
        </w:rPr>
        <w:t>）各类资产目前收益水平及未来收益的可能变化趋势情况；业绩报酬计提基准不是预期收益和保证收益率，不构成管理人对委托财产的任何承诺或担保，在某些情况下委托人仍可能面临实际收益率达不到业绩报酬计提基准甚至本金受损的风险。</w:t>
      </w:r>
    </w:p>
    <w:p w:rsidR="00CF16B3" w:rsidRPr="00CF16B3" w:rsidRDefault="00CF16B3" w:rsidP="00CF16B3">
      <w:pPr>
        <w:widowControl/>
        <w:shd w:val="clear" w:color="auto" w:fill="FFFFFF"/>
        <w:spacing w:line="378" w:lineRule="atLeast"/>
        <w:ind w:firstLine="480"/>
        <w:jc w:val="left"/>
        <w:rPr>
          <w:rFonts w:ascii="微软雅黑" w:eastAsia="微软雅黑" w:hAnsi="微软雅黑" w:cs="宋体" w:hint="eastAsia"/>
          <w:color w:val="4E4E4E"/>
          <w:kern w:val="0"/>
          <w:szCs w:val="21"/>
        </w:rPr>
      </w:pPr>
      <w:r w:rsidRPr="00CF16B3">
        <w:rPr>
          <w:rFonts w:ascii="宋体" w:eastAsia="宋体" w:hAnsi="宋体" w:cs="宋体" w:hint="eastAsia"/>
          <w:color w:val="000000"/>
          <w:kern w:val="0"/>
          <w:sz w:val="28"/>
          <w:szCs w:val="28"/>
        </w:rPr>
        <w:t>招商</w:t>
      </w:r>
      <w:proofErr w:type="gramStart"/>
      <w:r w:rsidRPr="00CF16B3">
        <w:rPr>
          <w:rFonts w:ascii="宋体" w:eastAsia="宋体" w:hAnsi="宋体" w:cs="宋体" w:hint="eastAsia"/>
          <w:color w:val="000000"/>
          <w:kern w:val="0"/>
          <w:sz w:val="28"/>
          <w:szCs w:val="28"/>
        </w:rPr>
        <w:t>智远瑞丰</w:t>
      </w:r>
      <w:proofErr w:type="gramEnd"/>
      <w:r w:rsidRPr="00CF16B3">
        <w:rPr>
          <w:rFonts w:ascii="宋体" w:eastAsia="宋体" w:hAnsi="宋体" w:cs="宋体" w:hint="eastAsia"/>
          <w:color w:val="000000"/>
          <w:kern w:val="0"/>
          <w:sz w:val="28"/>
          <w:szCs w:val="28"/>
        </w:rPr>
        <w:t>双季红</w:t>
      </w:r>
      <w:r w:rsidRPr="00CF16B3">
        <w:rPr>
          <w:rFonts w:ascii="微软雅黑" w:eastAsia="微软雅黑" w:hAnsi="微软雅黑" w:cs="宋体" w:hint="eastAsia"/>
          <w:color w:val="000000"/>
          <w:kern w:val="0"/>
          <w:sz w:val="28"/>
          <w:szCs w:val="28"/>
        </w:rPr>
        <w:t>1</w:t>
      </w:r>
      <w:r w:rsidRPr="00CF16B3">
        <w:rPr>
          <w:rFonts w:ascii="宋体" w:eastAsia="宋体" w:hAnsi="宋体" w:cs="宋体" w:hint="eastAsia"/>
          <w:color w:val="000000"/>
          <w:kern w:val="0"/>
          <w:sz w:val="28"/>
          <w:szCs w:val="28"/>
        </w:rPr>
        <w:t>号集合资产管理计划第二个封闭运作期为</w:t>
      </w:r>
      <w:r w:rsidRPr="00CF16B3">
        <w:rPr>
          <w:rFonts w:ascii="微软雅黑" w:eastAsia="微软雅黑" w:hAnsi="微软雅黑" w:cs="宋体" w:hint="eastAsia"/>
          <w:color w:val="000000"/>
          <w:kern w:val="0"/>
          <w:sz w:val="28"/>
          <w:szCs w:val="28"/>
        </w:rPr>
        <w:t>2019</w:t>
      </w:r>
      <w:r w:rsidRPr="00CF16B3">
        <w:rPr>
          <w:rFonts w:ascii="宋体" w:eastAsia="宋体" w:hAnsi="宋体" w:cs="宋体" w:hint="eastAsia"/>
          <w:color w:val="000000"/>
          <w:kern w:val="0"/>
          <w:sz w:val="28"/>
          <w:szCs w:val="28"/>
        </w:rPr>
        <w:t>年</w:t>
      </w:r>
      <w:r w:rsidRPr="00CF16B3">
        <w:rPr>
          <w:rFonts w:ascii="微软雅黑" w:eastAsia="微软雅黑" w:hAnsi="微软雅黑" w:cs="宋体" w:hint="eastAsia"/>
          <w:color w:val="000000"/>
          <w:kern w:val="0"/>
          <w:sz w:val="28"/>
          <w:szCs w:val="28"/>
        </w:rPr>
        <w:t>5</w:t>
      </w:r>
      <w:r w:rsidRPr="00CF16B3">
        <w:rPr>
          <w:rFonts w:ascii="宋体" w:eastAsia="宋体" w:hAnsi="宋体" w:cs="宋体" w:hint="eastAsia"/>
          <w:color w:val="000000"/>
          <w:kern w:val="0"/>
          <w:sz w:val="28"/>
          <w:szCs w:val="28"/>
        </w:rPr>
        <w:t>月</w:t>
      </w:r>
      <w:r w:rsidRPr="00CF16B3">
        <w:rPr>
          <w:rFonts w:ascii="微软雅黑" w:eastAsia="微软雅黑" w:hAnsi="微软雅黑" w:cs="宋体" w:hint="eastAsia"/>
          <w:color w:val="000000"/>
          <w:kern w:val="0"/>
          <w:sz w:val="28"/>
          <w:szCs w:val="28"/>
        </w:rPr>
        <w:t>18</w:t>
      </w:r>
      <w:r w:rsidRPr="00CF16B3">
        <w:rPr>
          <w:rFonts w:ascii="宋体" w:eastAsia="宋体" w:hAnsi="宋体" w:cs="宋体" w:hint="eastAsia"/>
          <w:color w:val="000000"/>
          <w:kern w:val="0"/>
          <w:sz w:val="28"/>
          <w:szCs w:val="28"/>
        </w:rPr>
        <w:t>日至</w:t>
      </w:r>
      <w:r w:rsidRPr="00CF16B3">
        <w:rPr>
          <w:rFonts w:ascii="微软雅黑" w:eastAsia="微软雅黑" w:hAnsi="微软雅黑" w:cs="宋体" w:hint="eastAsia"/>
          <w:color w:val="000000"/>
          <w:kern w:val="0"/>
          <w:sz w:val="28"/>
          <w:szCs w:val="28"/>
        </w:rPr>
        <w:t>2019</w:t>
      </w:r>
      <w:r w:rsidRPr="00CF16B3">
        <w:rPr>
          <w:rFonts w:ascii="宋体" w:eastAsia="宋体" w:hAnsi="宋体" w:cs="宋体" w:hint="eastAsia"/>
          <w:color w:val="000000"/>
          <w:kern w:val="0"/>
          <w:sz w:val="28"/>
          <w:szCs w:val="28"/>
        </w:rPr>
        <w:t>年</w:t>
      </w:r>
      <w:r w:rsidRPr="00CF16B3">
        <w:rPr>
          <w:rFonts w:ascii="微软雅黑" w:eastAsia="微软雅黑" w:hAnsi="微软雅黑" w:cs="宋体" w:hint="eastAsia"/>
          <w:color w:val="000000"/>
          <w:kern w:val="0"/>
          <w:sz w:val="28"/>
          <w:szCs w:val="28"/>
        </w:rPr>
        <w:t>11</w:t>
      </w:r>
      <w:r w:rsidRPr="00CF16B3">
        <w:rPr>
          <w:rFonts w:ascii="宋体" w:eastAsia="宋体" w:hAnsi="宋体" w:cs="宋体" w:hint="eastAsia"/>
          <w:color w:val="000000"/>
          <w:kern w:val="0"/>
          <w:sz w:val="28"/>
          <w:szCs w:val="28"/>
        </w:rPr>
        <w:t>月</w:t>
      </w:r>
      <w:r w:rsidRPr="00CF16B3">
        <w:rPr>
          <w:rFonts w:ascii="微软雅黑" w:eastAsia="微软雅黑" w:hAnsi="微软雅黑" w:cs="宋体" w:hint="eastAsia"/>
          <w:color w:val="000000"/>
          <w:kern w:val="0"/>
          <w:sz w:val="28"/>
          <w:szCs w:val="28"/>
        </w:rPr>
        <w:t>18</w:t>
      </w:r>
      <w:r w:rsidRPr="00CF16B3">
        <w:rPr>
          <w:rFonts w:ascii="宋体" w:eastAsia="宋体" w:hAnsi="宋体" w:cs="宋体" w:hint="eastAsia"/>
          <w:color w:val="000000"/>
          <w:kern w:val="0"/>
          <w:sz w:val="28"/>
          <w:szCs w:val="28"/>
        </w:rPr>
        <w:t>日，该封闭期的业绩报酬计提基准为</w:t>
      </w:r>
      <w:r w:rsidRPr="00CF16B3">
        <w:rPr>
          <w:rFonts w:ascii="微软雅黑" w:eastAsia="微软雅黑" w:hAnsi="微软雅黑" w:cs="宋体" w:hint="eastAsia"/>
          <w:color w:val="000000"/>
          <w:kern w:val="0"/>
          <w:sz w:val="28"/>
          <w:szCs w:val="28"/>
        </w:rPr>
        <w:t>4.8%</w:t>
      </w:r>
      <w:r w:rsidRPr="00CF16B3">
        <w:rPr>
          <w:rFonts w:ascii="宋体" w:eastAsia="宋体" w:hAnsi="宋体" w:cs="宋体" w:hint="eastAsia"/>
          <w:color w:val="000000"/>
          <w:kern w:val="0"/>
          <w:sz w:val="28"/>
          <w:szCs w:val="28"/>
        </w:rPr>
        <w:t>。</w:t>
      </w:r>
    </w:p>
    <w:p w:rsidR="00CF16B3" w:rsidRPr="00CF16B3" w:rsidRDefault="00CF16B3" w:rsidP="00CF16B3">
      <w:pPr>
        <w:widowControl/>
        <w:shd w:val="clear" w:color="auto" w:fill="FFFFFF"/>
        <w:spacing w:line="378" w:lineRule="atLeast"/>
        <w:ind w:firstLine="480"/>
        <w:jc w:val="left"/>
        <w:rPr>
          <w:rFonts w:ascii="微软雅黑" w:eastAsia="微软雅黑" w:hAnsi="微软雅黑" w:cs="宋体" w:hint="eastAsia"/>
          <w:color w:val="4E4E4E"/>
          <w:kern w:val="0"/>
          <w:szCs w:val="21"/>
        </w:rPr>
      </w:pPr>
      <w:r w:rsidRPr="00CF16B3">
        <w:rPr>
          <w:rFonts w:ascii="宋体" w:eastAsia="宋体" w:hAnsi="宋体" w:cs="宋体" w:hint="eastAsia"/>
          <w:color w:val="000000"/>
          <w:kern w:val="0"/>
          <w:sz w:val="28"/>
          <w:szCs w:val="28"/>
        </w:rPr>
        <w:t>特此公告。</w:t>
      </w:r>
    </w:p>
    <w:p w:rsidR="00CF16B3" w:rsidRPr="00CF16B3" w:rsidRDefault="00CF16B3" w:rsidP="00CF16B3">
      <w:pPr>
        <w:widowControl/>
        <w:shd w:val="clear" w:color="auto" w:fill="FFFFFF"/>
        <w:spacing w:line="378" w:lineRule="atLeast"/>
        <w:ind w:firstLine="480"/>
        <w:jc w:val="left"/>
        <w:rPr>
          <w:rFonts w:ascii="微软雅黑" w:eastAsia="微软雅黑" w:hAnsi="微软雅黑" w:cs="宋体" w:hint="eastAsia"/>
          <w:color w:val="4E4E4E"/>
          <w:kern w:val="0"/>
          <w:szCs w:val="21"/>
        </w:rPr>
      </w:pPr>
      <w:r w:rsidRPr="00CF16B3">
        <w:rPr>
          <w:rFonts w:ascii="微软雅黑" w:eastAsia="微软雅黑" w:hAnsi="微软雅黑" w:cs="宋体" w:hint="eastAsia"/>
          <w:color w:val="4E4E4E"/>
          <w:kern w:val="0"/>
          <w:szCs w:val="21"/>
        </w:rPr>
        <w:t>？</w:t>
      </w:r>
    </w:p>
    <w:p w:rsidR="00CF16B3" w:rsidRPr="00CF16B3" w:rsidRDefault="00CF16B3" w:rsidP="00CF16B3">
      <w:pPr>
        <w:widowControl/>
        <w:shd w:val="clear" w:color="auto" w:fill="FFFFFF"/>
        <w:spacing w:line="378" w:lineRule="atLeast"/>
        <w:ind w:firstLine="480"/>
        <w:jc w:val="right"/>
        <w:rPr>
          <w:rFonts w:ascii="微软雅黑" w:eastAsia="微软雅黑" w:hAnsi="微软雅黑" w:cs="宋体" w:hint="eastAsia"/>
          <w:color w:val="4E4E4E"/>
          <w:kern w:val="0"/>
          <w:szCs w:val="21"/>
        </w:rPr>
      </w:pPr>
      <w:r w:rsidRPr="00CF16B3">
        <w:rPr>
          <w:rFonts w:ascii="宋体" w:eastAsia="宋体" w:hAnsi="宋体" w:cs="宋体" w:hint="eastAsia"/>
          <w:color w:val="000000"/>
          <w:kern w:val="0"/>
          <w:sz w:val="28"/>
          <w:szCs w:val="28"/>
        </w:rPr>
        <w:t>招商证券资产管理有限公司</w:t>
      </w:r>
    </w:p>
    <w:p w:rsidR="00CF16B3" w:rsidRPr="00CF16B3" w:rsidRDefault="00CF16B3" w:rsidP="00CF16B3">
      <w:pPr>
        <w:widowControl/>
        <w:shd w:val="clear" w:color="auto" w:fill="FFFFFF"/>
        <w:spacing w:line="378" w:lineRule="atLeast"/>
        <w:ind w:right="420" w:firstLine="480"/>
        <w:jc w:val="right"/>
        <w:rPr>
          <w:rFonts w:ascii="微软雅黑" w:eastAsia="微软雅黑" w:hAnsi="微软雅黑" w:cs="宋体" w:hint="eastAsia"/>
          <w:color w:val="4E4E4E"/>
          <w:kern w:val="0"/>
          <w:szCs w:val="21"/>
        </w:rPr>
      </w:pPr>
      <w:r w:rsidRPr="00CF16B3">
        <w:rPr>
          <w:rFonts w:ascii="微软雅黑" w:eastAsia="微软雅黑" w:hAnsi="微软雅黑" w:cs="宋体" w:hint="eastAsia"/>
          <w:color w:val="000000"/>
          <w:kern w:val="0"/>
          <w:sz w:val="28"/>
          <w:szCs w:val="28"/>
        </w:rPr>
        <w:t>2019</w:t>
      </w:r>
      <w:r w:rsidRPr="00CF16B3">
        <w:rPr>
          <w:rFonts w:ascii="宋体" w:eastAsia="宋体" w:hAnsi="宋体" w:cs="宋体" w:hint="eastAsia"/>
          <w:color w:val="000000"/>
          <w:kern w:val="0"/>
          <w:sz w:val="28"/>
          <w:szCs w:val="28"/>
        </w:rPr>
        <w:t>年</w:t>
      </w:r>
      <w:r w:rsidRPr="00CF16B3">
        <w:rPr>
          <w:rFonts w:ascii="微软雅黑" w:eastAsia="微软雅黑" w:hAnsi="微软雅黑" w:cs="宋体" w:hint="eastAsia"/>
          <w:color w:val="000000"/>
          <w:kern w:val="0"/>
          <w:sz w:val="28"/>
          <w:szCs w:val="28"/>
        </w:rPr>
        <w:t>4</w:t>
      </w:r>
      <w:r w:rsidRPr="00CF16B3">
        <w:rPr>
          <w:rFonts w:ascii="宋体" w:eastAsia="宋体" w:hAnsi="宋体" w:cs="宋体" w:hint="eastAsia"/>
          <w:color w:val="000000"/>
          <w:kern w:val="0"/>
          <w:sz w:val="28"/>
          <w:szCs w:val="28"/>
        </w:rPr>
        <w:t>月</w:t>
      </w:r>
      <w:r w:rsidRPr="00CF16B3">
        <w:rPr>
          <w:rFonts w:ascii="微软雅黑" w:eastAsia="微软雅黑" w:hAnsi="微软雅黑" w:cs="宋体" w:hint="eastAsia"/>
          <w:color w:val="000000"/>
          <w:kern w:val="0"/>
          <w:sz w:val="28"/>
          <w:szCs w:val="28"/>
        </w:rPr>
        <w:t>18</w:t>
      </w:r>
      <w:r w:rsidRPr="00CF16B3">
        <w:rPr>
          <w:rFonts w:ascii="宋体" w:eastAsia="宋体" w:hAnsi="宋体" w:cs="宋体" w:hint="eastAsia"/>
          <w:color w:val="000000"/>
          <w:kern w:val="0"/>
          <w:sz w:val="28"/>
          <w:szCs w:val="28"/>
        </w:rPr>
        <w:t>日</w:t>
      </w:r>
    </w:p>
    <w:p w:rsidR="00E22D5D" w:rsidRDefault="00CF16B3">
      <w:bookmarkStart w:id="0" w:name="_GoBack"/>
      <w:bookmarkEnd w:id="0"/>
    </w:p>
    <w:sectPr w:rsidR="00E22D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B3"/>
    <w:rsid w:val="003A733D"/>
    <w:rsid w:val="005C2CE1"/>
    <w:rsid w:val="00CF1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F16B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F16B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F16B3"/>
    <w:rPr>
      <w:rFonts w:ascii="宋体" w:eastAsia="宋体" w:hAnsi="宋体" w:cs="宋体"/>
      <w:b/>
      <w:bCs/>
      <w:kern w:val="36"/>
      <w:sz w:val="48"/>
      <w:szCs w:val="48"/>
    </w:rPr>
  </w:style>
  <w:style w:type="character" w:customStyle="1" w:styleId="2Char">
    <w:name w:val="标题 2 Char"/>
    <w:basedOn w:val="a0"/>
    <w:link w:val="2"/>
    <w:uiPriority w:val="9"/>
    <w:rsid w:val="00CF16B3"/>
    <w:rPr>
      <w:rFonts w:ascii="宋体" w:eastAsia="宋体" w:hAnsi="宋体" w:cs="宋体"/>
      <w:b/>
      <w:bCs/>
      <w:kern w:val="0"/>
      <w:sz w:val="36"/>
      <w:szCs w:val="36"/>
    </w:rPr>
  </w:style>
  <w:style w:type="paragraph" w:styleId="a3">
    <w:name w:val="Normal (Web)"/>
    <w:basedOn w:val="a"/>
    <w:uiPriority w:val="99"/>
    <w:semiHidden/>
    <w:unhideWhenUsed/>
    <w:rsid w:val="00CF16B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F16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F16B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CF16B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F16B3"/>
    <w:rPr>
      <w:rFonts w:ascii="宋体" w:eastAsia="宋体" w:hAnsi="宋体" w:cs="宋体"/>
      <w:b/>
      <w:bCs/>
      <w:kern w:val="36"/>
      <w:sz w:val="48"/>
      <w:szCs w:val="48"/>
    </w:rPr>
  </w:style>
  <w:style w:type="character" w:customStyle="1" w:styleId="2Char">
    <w:name w:val="标题 2 Char"/>
    <w:basedOn w:val="a0"/>
    <w:link w:val="2"/>
    <w:uiPriority w:val="9"/>
    <w:rsid w:val="00CF16B3"/>
    <w:rPr>
      <w:rFonts w:ascii="宋体" w:eastAsia="宋体" w:hAnsi="宋体" w:cs="宋体"/>
      <w:b/>
      <w:bCs/>
      <w:kern w:val="0"/>
      <w:sz w:val="36"/>
      <w:szCs w:val="36"/>
    </w:rPr>
  </w:style>
  <w:style w:type="paragraph" w:styleId="a3">
    <w:name w:val="Normal (Web)"/>
    <w:basedOn w:val="a"/>
    <w:uiPriority w:val="99"/>
    <w:semiHidden/>
    <w:unhideWhenUsed/>
    <w:rsid w:val="00CF16B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F16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61878">
      <w:bodyDiv w:val="1"/>
      <w:marLeft w:val="0"/>
      <w:marRight w:val="0"/>
      <w:marTop w:val="0"/>
      <w:marBottom w:val="0"/>
      <w:divBdr>
        <w:top w:val="none" w:sz="0" w:space="0" w:color="auto"/>
        <w:left w:val="none" w:sz="0" w:space="0" w:color="auto"/>
        <w:bottom w:val="none" w:sz="0" w:space="0" w:color="auto"/>
        <w:right w:val="none" w:sz="0" w:space="0" w:color="auto"/>
      </w:divBdr>
      <w:divsChild>
        <w:div w:id="256056687">
          <w:marLeft w:val="0"/>
          <w:marRight w:val="0"/>
          <w:marTop w:val="0"/>
          <w:marBottom w:val="0"/>
          <w:divBdr>
            <w:top w:val="none" w:sz="0" w:space="0" w:color="auto"/>
            <w:left w:val="none" w:sz="0" w:space="0" w:color="auto"/>
            <w:bottom w:val="single" w:sz="6" w:space="0" w:color="E1E1E1"/>
            <w:right w:val="none" w:sz="0" w:space="0" w:color="auto"/>
          </w:divBdr>
          <w:divsChild>
            <w:div w:id="1074164024">
              <w:marLeft w:val="0"/>
              <w:marRight w:val="0"/>
              <w:marTop w:val="0"/>
              <w:marBottom w:val="0"/>
              <w:divBdr>
                <w:top w:val="none" w:sz="0" w:space="0" w:color="auto"/>
                <w:left w:val="none" w:sz="0" w:space="0" w:color="auto"/>
                <w:bottom w:val="none" w:sz="0" w:space="0" w:color="auto"/>
                <w:right w:val="none" w:sz="0" w:space="0" w:color="auto"/>
              </w:divBdr>
            </w:div>
          </w:divsChild>
        </w:div>
        <w:div w:id="94322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黄骏杰</dc:creator>
  <cp:lastModifiedBy>黄骏杰</cp:lastModifiedBy>
  <cp:revision>1</cp:revision>
  <dcterms:created xsi:type="dcterms:W3CDTF">2019-05-22T05:53:00Z</dcterms:created>
  <dcterms:modified xsi:type="dcterms:W3CDTF">2019-05-22T05:53:00Z</dcterms:modified>
</cp:coreProperties>
</file>