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1E" w:rsidRPr="0069481E" w:rsidRDefault="0069481E" w:rsidP="0069481E">
      <w:pPr>
        <w:widowControl/>
        <w:shd w:val="clear" w:color="auto" w:fill="FFFFFF"/>
        <w:spacing w:after="150"/>
        <w:jc w:val="center"/>
        <w:outlineLvl w:val="1"/>
        <w:rPr>
          <w:rFonts w:ascii="Arial" w:eastAsia="宋体" w:hAnsi="Arial" w:cs="Arial"/>
          <w:b/>
          <w:bCs/>
          <w:color w:val="004F7E"/>
          <w:kern w:val="0"/>
          <w:sz w:val="36"/>
          <w:szCs w:val="36"/>
        </w:rPr>
      </w:pPr>
      <w:r w:rsidRPr="0069481E">
        <w:rPr>
          <w:rFonts w:ascii="Arial" w:eastAsia="宋体" w:hAnsi="Arial" w:cs="Arial"/>
          <w:b/>
          <w:bCs/>
          <w:color w:val="004F7E"/>
          <w:kern w:val="0"/>
          <w:sz w:val="36"/>
          <w:szCs w:val="36"/>
        </w:rPr>
        <w:t>长江证券超越理财乐享</w:t>
      </w:r>
      <w:r w:rsidRPr="0069481E">
        <w:rPr>
          <w:rFonts w:ascii="Arial" w:eastAsia="宋体" w:hAnsi="Arial" w:cs="Arial"/>
          <w:b/>
          <w:bCs/>
          <w:color w:val="004F7E"/>
          <w:kern w:val="0"/>
          <w:sz w:val="36"/>
          <w:szCs w:val="36"/>
        </w:rPr>
        <w:t>1</w:t>
      </w:r>
      <w:r w:rsidRPr="0069481E">
        <w:rPr>
          <w:rFonts w:ascii="Arial" w:eastAsia="宋体" w:hAnsi="Arial" w:cs="Arial"/>
          <w:b/>
          <w:bCs/>
          <w:color w:val="004F7E"/>
          <w:kern w:val="0"/>
          <w:sz w:val="36"/>
          <w:szCs w:val="36"/>
        </w:rPr>
        <w:t>天集合资产管理计划半年期</w:t>
      </w:r>
      <w:r w:rsidRPr="0069481E">
        <w:rPr>
          <w:rFonts w:ascii="Arial" w:eastAsia="宋体" w:hAnsi="Arial" w:cs="Arial"/>
          <w:b/>
          <w:bCs/>
          <w:color w:val="004F7E"/>
          <w:kern w:val="0"/>
          <w:sz w:val="36"/>
          <w:szCs w:val="36"/>
        </w:rPr>
        <w:t xml:space="preserve"> 380</w:t>
      </w:r>
      <w:r w:rsidRPr="0069481E">
        <w:rPr>
          <w:rFonts w:ascii="Arial" w:eastAsia="宋体" w:hAnsi="Arial" w:cs="Arial"/>
          <w:b/>
          <w:bCs/>
          <w:color w:val="004F7E"/>
          <w:kern w:val="0"/>
          <w:sz w:val="36"/>
          <w:szCs w:val="36"/>
        </w:rPr>
        <w:t>号产品发行公告</w:t>
      </w:r>
    </w:p>
    <w:p w:rsidR="0069481E" w:rsidRPr="0069481E" w:rsidRDefault="0069481E" w:rsidP="0069481E">
      <w:pPr>
        <w:widowControl/>
        <w:pBdr>
          <w:bottom w:val="single" w:sz="6" w:space="8" w:color="E0DCDC"/>
        </w:pBdr>
        <w:shd w:val="clear" w:color="auto" w:fill="FFFFFF"/>
        <w:jc w:val="center"/>
        <w:outlineLvl w:val="2"/>
        <w:rPr>
          <w:rFonts w:ascii="Arial" w:eastAsia="宋体" w:hAnsi="Arial" w:cs="Arial"/>
          <w:b/>
          <w:bCs/>
          <w:color w:val="CED0D6"/>
          <w:kern w:val="0"/>
          <w:szCs w:val="21"/>
        </w:rPr>
      </w:pPr>
      <w:r w:rsidRPr="0069481E">
        <w:rPr>
          <w:rFonts w:ascii="Arial" w:eastAsia="宋体" w:hAnsi="Arial" w:cs="Arial"/>
          <w:b/>
          <w:bCs/>
          <w:color w:val="CED0D6"/>
          <w:kern w:val="0"/>
          <w:szCs w:val="21"/>
        </w:rPr>
        <w:t>时间：</w:t>
      </w:r>
      <w:r w:rsidRPr="0069481E">
        <w:rPr>
          <w:rFonts w:ascii="Arial" w:eastAsia="宋体" w:hAnsi="Arial" w:cs="Arial"/>
          <w:b/>
          <w:bCs/>
          <w:color w:val="CED0D6"/>
          <w:kern w:val="0"/>
          <w:szCs w:val="21"/>
        </w:rPr>
        <w:t>2019-10-15</w:t>
      </w:r>
    </w:p>
    <w:p w:rsidR="0069481E" w:rsidRPr="0069481E" w:rsidRDefault="0069481E" w:rsidP="0069481E">
      <w:pPr>
        <w:widowControl/>
        <w:shd w:val="clear" w:color="auto" w:fill="FFFFFF"/>
        <w:spacing w:line="450" w:lineRule="atLeast"/>
        <w:jc w:val="center"/>
        <w:rPr>
          <w:rFonts w:ascii="Arial" w:eastAsia="宋体" w:hAnsi="Arial" w:cs="Arial"/>
          <w:color w:val="4C4C4C"/>
          <w:kern w:val="0"/>
          <w:sz w:val="23"/>
          <w:szCs w:val="23"/>
        </w:rPr>
      </w:pPr>
    </w:p>
    <w:p w:rsidR="0069481E" w:rsidRPr="0069481E" w:rsidRDefault="0069481E" w:rsidP="0069481E">
      <w:pPr>
        <w:widowControl/>
        <w:shd w:val="clear" w:color="auto" w:fill="FFFFFF"/>
        <w:spacing w:line="360" w:lineRule="atLeast"/>
        <w:jc w:val="left"/>
        <w:rPr>
          <w:rFonts w:ascii="Arial" w:eastAsia="宋体" w:hAnsi="Arial" w:cs="Arial"/>
          <w:color w:val="4C4C4C"/>
          <w:kern w:val="0"/>
          <w:sz w:val="23"/>
          <w:szCs w:val="23"/>
        </w:rPr>
      </w:pPr>
      <w:r w:rsidRPr="0069481E">
        <w:rPr>
          <w:rFonts w:ascii="Arial" w:eastAsia="宋体" w:hAnsi="Arial" w:cs="Arial"/>
          <w:color w:val="555555"/>
          <w:kern w:val="0"/>
          <w:sz w:val="23"/>
          <w:szCs w:val="23"/>
        </w:rPr>
        <w:t> </w:t>
      </w:r>
      <w:r w:rsidRPr="0069481E">
        <w:rPr>
          <w:rFonts w:ascii="宋体" w:eastAsia="宋体" w:hAnsi="宋体" w:cs="Arial" w:hint="eastAsia"/>
          <w:color w:val="4C4C4C"/>
          <w:kern w:val="0"/>
          <w:sz w:val="24"/>
          <w:szCs w:val="24"/>
        </w:rPr>
        <w:t>尊敬的投资者：</w:t>
      </w:r>
    </w:p>
    <w:p w:rsidR="0069481E" w:rsidRPr="0069481E" w:rsidRDefault="0069481E" w:rsidP="0069481E">
      <w:pPr>
        <w:widowControl/>
        <w:shd w:val="clear" w:color="auto" w:fill="FFFFFF"/>
        <w:spacing w:line="338" w:lineRule="atLeast"/>
        <w:ind w:firstLine="480"/>
        <w:jc w:val="left"/>
        <w:rPr>
          <w:rFonts w:ascii="Arial" w:eastAsia="宋体" w:hAnsi="Arial" w:cs="Arial"/>
          <w:color w:val="4C4C4C"/>
          <w:kern w:val="0"/>
          <w:sz w:val="23"/>
          <w:szCs w:val="23"/>
        </w:rPr>
      </w:pPr>
      <w:r w:rsidRPr="0069481E">
        <w:rPr>
          <w:rFonts w:ascii="宋体" w:eastAsia="宋体" w:hAnsi="宋体" w:cs="Arial" w:hint="eastAsia"/>
          <w:color w:val="4C4C4C"/>
          <w:kern w:val="0"/>
          <w:sz w:val="24"/>
          <w:szCs w:val="24"/>
        </w:rPr>
        <w:t>感谢您对我司管理的长江证券超越理财乐享1天集合资产管理计划的关注和信任。现将即将发行的长江证券超越理财乐享1天集合资产管理计划半年期 380号产品发行事宜公告如下：</w:t>
      </w:r>
    </w:p>
    <w:tbl>
      <w:tblPr>
        <w:tblW w:w="13752" w:type="dxa"/>
        <w:tblBorders>
          <w:top w:val="single" w:sz="6" w:space="0" w:color="E0DCDC"/>
          <w:left w:val="single" w:sz="6" w:space="0" w:color="E0DCDC"/>
        </w:tblBorders>
        <w:tblCellMar>
          <w:left w:w="0" w:type="dxa"/>
          <w:right w:w="0" w:type="dxa"/>
        </w:tblCellMar>
        <w:tblLook w:val="04A0" w:firstRow="1" w:lastRow="0" w:firstColumn="1" w:lastColumn="0" w:noHBand="0" w:noVBand="1"/>
      </w:tblPr>
      <w:tblGrid>
        <w:gridCol w:w="3373"/>
        <w:gridCol w:w="10379"/>
      </w:tblGrid>
      <w:tr w:rsidR="0069481E" w:rsidRPr="0069481E" w:rsidTr="0069481E">
        <w:tc>
          <w:tcPr>
            <w:tcW w:w="8685" w:type="dxa"/>
            <w:gridSpan w:val="2"/>
            <w:tcBorders>
              <w:top w:val="outset" w:sz="6" w:space="0" w:color="000000"/>
              <w:left w:val="outset" w:sz="6" w:space="0" w:color="000000"/>
              <w:bottom w:val="outset" w:sz="6" w:space="0" w:color="000000"/>
              <w:right w:val="outset" w:sz="6" w:space="0" w:color="000000"/>
            </w:tcBorders>
            <w:hideMark/>
          </w:tcPr>
          <w:p w:rsidR="0069481E" w:rsidRPr="0069481E" w:rsidRDefault="0069481E" w:rsidP="0069481E">
            <w:pPr>
              <w:widowControl/>
              <w:spacing w:line="338" w:lineRule="atLeast"/>
              <w:jc w:val="center"/>
              <w:rPr>
                <w:rFonts w:ascii="宋体" w:eastAsia="宋体" w:hAnsi="宋体" w:cs="宋体"/>
                <w:kern w:val="0"/>
                <w:sz w:val="24"/>
                <w:szCs w:val="24"/>
              </w:rPr>
            </w:pPr>
            <w:r w:rsidRPr="0069481E">
              <w:rPr>
                <w:rFonts w:ascii="宋体" w:eastAsia="宋体" w:hAnsi="宋体" w:cs="宋体" w:hint="eastAsia"/>
                <w:kern w:val="0"/>
                <w:sz w:val="24"/>
                <w:szCs w:val="24"/>
              </w:rPr>
              <w:t>长江证券超越理财乐享1天集合资产管理计划半年期 380号产品</w:t>
            </w:r>
          </w:p>
        </w:tc>
      </w:tr>
      <w:tr w:rsidR="0069481E" w:rsidRPr="0069481E" w:rsidTr="0069481E">
        <w:tc>
          <w:tcPr>
            <w:tcW w:w="2130" w:type="dxa"/>
            <w:tcBorders>
              <w:top w:val="nil"/>
              <w:left w:val="outset" w:sz="6" w:space="0" w:color="000000"/>
              <w:bottom w:val="outset" w:sz="6" w:space="0" w:color="000000"/>
              <w:right w:val="outset" w:sz="6" w:space="0" w:color="000000"/>
            </w:tcBorders>
            <w:vAlign w:val="center"/>
            <w:hideMark/>
          </w:tcPr>
          <w:p w:rsidR="0069481E" w:rsidRPr="0069481E" w:rsidRDefault="0069481E" w:rsidP="0069481E">
            <w:pPr>
              <w:widowControl/>
              <w:spacing w:line="338" w:lineRule="atLeast"/>
              <w:jc w:val="center"/>
              <w:rPr>
                <w:rFonts w:ascii="宋体" w:eastAsia="宋体" w:hAnsi="宋体" w:cs="宋体"/>
                <w:kern w:val="0"/>
                <w:sz w:val="24"/>
                <w:szCs w:val="24"/>
              </w:rPr>
            </w:pPr>
            <w:r w:rsidRPr="0069481E">
              <w:rPr>
                <w:rFonts w:ascii="宋体" w:eastAsia="宋体" w:hAnsi="宋体" w:cs="宋体" w:hint="eastAsia"/>
                <w:kern w:val="0"/>
                <w:sz w:val="24"/>
                <w:szCs w:val="24"/>
              </w:rPr>
              <w:t>产品代码</w:t>
            </w:r>
          </w:p>
        </w:tc>
        <w:tc>
          <w:tcPr>
            <w:tcW w:w="6555" w:type="dxa"/>
            <w:tcBorders>
              <w:top w:val="nil"/>
              <w:left w:val="nil"/>
              <w:bottom w:val="outset" w:sz="6" w:space="0" w:color="000000"/>
              <w:right w:val="outset" w:sz="6" w:space="0" w:color="000000"/>
            </w:tcBorders>
            <w:vAlign w:val="center"/>
            <w:hideMark/>
          </w:tcPr>
          <w:p w:rsidR="0069481E" w:rsidRPr="0069481E" w:rsidRDefault="0069481E" w:rsidP="0069481E">
            <w:pPr>
              <w:widowControl/>
              <w:spacing w:line="338" w:lineRule="atLeast"/>
              <w:ind w:firstLine="120"/>
              <w:jc w:val="left"/>
              <w:rPr>
                <w:rFonts w:ascii="宋体" w:eastAsia="宋体" w:hAnsi="宋体" w:cs="宋体"/>
                <w:kern w:val="0"/>
                <w:sz w:val="24"/>
                <w:szCs w:val="24"/>
              </w:rPr>
            </w:pPr>
            <w:r w:rsidRPr="0069481E">
              <w:rPr>
                <w:rFonts w:ascii="宋体" w:eastAsia="宋体" w:hAnsi="宋体" w:cs="宋体" w:hint="eastAsia"/>
                <w:kern w:val="0"/>
                <w:sz w:val="24"/>
                <w:szCs w:val="24"/>
              </w:rPr>
              <w:t>8991CC</w:t>
            </w:r>
          </w:p>
        </w:tc>
      </w:tr>
      <w:tr w:rsidR="0069481E" w:rsidRPr="0069481E" w:rsidTr="0069481E">
        <w:tc>
          <w:tcPr>
            <w:tcW w:w="2130" w:type="dxa"/>
            <w:tcBorders>
              <w:top w:val="nil"/>
              <w:left w:val="outset" w:sz="6" w:space="0" w:color="000000"/>
              <w:bottom w:val="outset" w:sz="6" w:space="0" w:color="000000"/>
              <w:right w:val="outset" w:sz="6" w:space="0" w:color="000000"/>
            </w:tcBorders>
            <w:vAlign w:val="center"/>
            <w:hideMark/>
          </w:tcPr>
          <w:p w:rsidR="0069481E" w:rsidRPr="0069481E" w:rsidRDefault="0069481E" w:rsidP="0069481E">
            <w:pPr>
              <w:widowControl/>
              <w:spacing w:line="338" w:lineRule="atLeast"/>
              <w:jc w:val="center"/>
              <w:rPr>
                <w:rFonts w:ascii="宋体" w:eastAsia="宋体" w:hAnsi="宋体" w:cs="宋体"/>
                <w:kern w:val="0"/>
                <w:sz w:val="24"/>
                <w:szCs w:val="24"/>
              </w:rPr>
            </w:pPr>
            <w:r w:rsidRPr="0069481E">
              <w:rPr>
                <w:rFonts w:ascii="宋体" w:eastAsia="宋体" w:hAnsi="宋体" w:cs="宋体" w:hint="eastAsia"/>
                <w:kern w:val="0"/>
                <w:sz w:val="24"/>
                <w:szCs w:val="24"/>
              </w:rPr>
              <w:t>业绩基准</w:t>
            </w:r>
          </w:p>
        </w:tc>
        <w:tc>
          <w:tcPr>
            <w:tcW w:w="6555" w:type="dxa"/>
            <w:tcBorders>
              <w:top w:val="nil"/>
              <w:left w:val="nil"/>
              <w:bottom w:val="outset" w:sz="6" w:space="0" w:color="000000"/>
              <w:right w:val="outset" w:sz="6" w:space="0" w:color="000000"/>
            </w:tcBorders>
            <w:vAlign w:val="center"/>
            <w:hideMark/>
          </w:tcPr>
          <w:p w:rsidR="0069481E" w:rsidRPr="0069481E" w:rsidRDefault="0069481E" w:rsidP="0069481E">
            <w:pPr>
              <w:widowControl/>
              <w:spacing w:line="338" w:lineRule="atLeast"/>
              <w:ind w:firstLine="120"/>
              <w:jc w:val="left"/>
              <w:rPr>
                <w:rFonts w:ascii="宋体" w:eastAsia="宋体" w:hAnsi="宋体" w:cs="宋体"/>
                <w:kern w:val="0"/>
                <w:sz w:val="24"/>
                <w:szCs w:val="24"/>
              </w:rPr>
            </w:pPr>
            <w:r w:rsidRPr="0069481E">
              <w:rPr>
                <w:rFonts w:ascii="宋体" w:eastAsia="宋体" w:hAnsi="宋体" w:cs="宋体" w:hint="eastAsia"/>
                <w:kern w:val="0"/>
                <w:sz w:val="24"/>
                <w:szCs w:val="24"/>
              </w:rPr>
              <w:t>4.40%</w:t>
            </w:r>
          </w:p>
        </w:tc>
      </w:tr>
      <w:tr w:rsidR="0069481E" w:rsidRPr="0069481E" w:rsidTr="0069481E">
        <w:tc>
          <w:tcPr>
            <w:tcW w:w="2130" w:type="dxa"/>
            <w:tcBorders>
              <w:top w:val="nil"/>
              <w:left w:val="outset" w:sz="6" w:space="0" w:color="000000"/>
              <w:bottom w:val="outset" w:sz="6" w:space="0" w:color="000000"/>
              <w:right w:val="outset" w:sz="6" w:space="0" w:color="000000"/>
            </w:tcBorders>
            <w:vAlign w:val="center"/>
            <w:hideMark/>
          </w:tcPr>
          <w:p w:rsidR="0069481E" w:rsidRPr="0069481E" w:rsidRDefault="0069481E" w:rsidP="0069481E">
            <w:pPr>
              <w:widowControl/>
              <w:spacing w:line="338" w:lineRule="atLeast"/>
              <w:jc w:val="center"/>
              <w:rPr>
                <w:rFonts w:ascii="宋体" w:eastAsia="宋体" w:hAnsi="宋体" w:cs="宋体"/>
                <w:kern w:val="0"/>
                <w:sz w:val="24"/>
                <w:szCs w:val="24"/>
              </w:rPr>
            </w:pPr>
            <w:r w:rsidRPr="0069481E">
              <w:rPr>
                <w:rFonts w:ascii="宋体" w:eastAsia="宋体" w:hAnsi="宋体" w:cs="宋体" w:hint="eastAsia"/>
                <w:kern w:val="0"/>
                <w:sz w:val="24"/>
                <w:szCs w:val="24"/>
              </w:rPr>
              <w:t>募集规模上限</w:t>
            </w:r>
          </w:p>
        </w:tc>
        <w:tc>
          <w:tcPr>
            <w:tcW w:w="6555" w:type="dxa"/>
            <w:tcBorders>
              <w:top w:val="nil"/>
              <w:left w:val="nil"/>
              <w:bottom w:val="outset" w:sz="6" w:space="0" w:color="000000"/>
              <w:right w:val="outset" w:sz="6" w:space="0" w:color="000000"/>
            </w:tcBorders>
            <w:hideMark/>
          </w:tcPr>
          <w:p w:rsidR="0069481E" w:rsidRPr="0069481E" w:rsidRDefault="0069481E" w:rsidP="0069481E">
            <w:pPr>
              <w:widowControl/>
              <w:spacing w:line="338" w:lineRule="atLeast"/>
              <w:ind w:firstLine="120"/>
              <w:jc w:val="left"/>
              <w:rPr>
                <w:rFonts w:ascii="宋体" w:eastAsia="宋体" w:hAnsi="宋体" w:cs="宋体"/>
                <w:kern w:val="0"/>
                <w:sz w:val="24"/>
                <w:szCs w:val="24"/>
              </w:rPr>
            </w:pPr>
            <w:r w:rsidRPr="0069481E">
              <w:rPr>
                <w:rFonts w:ascii="宋体" w:eastAsia="宋体" w:hAnsi="宋体" w:cs="宋体" w:hint="eastAsia"/>
                <w:kern w:val="0"/>
                <w:sz w:val="24"/>
                <w:szCs w:val="24"/>
              </w:rPr>
              <w:t>20000万</w:t>
            </w:r>
          </w:p>
        </w:tc>
      </w:tr>
      <w:tr w:rsidR="0069481E" w:rsidRPr="0069481E" w:rsidTr="0069481E">
        <w:tc>
          <w:tcPr>
            <w:tcW w:w="2130" w:type="dxa"/>
            <w:tcBorders>
              <w:top w:val="nil"/>
              <w:left w:val="outset" w:sz="6" w:space="0" w:color="000000"/>
              <w:bottom w:val="outset" w:sz="6" w:space="0" w:color="000000"/>
              <w:right w:val="outset" w:sz="6" w:space="0" w:color="000000"/>
            </w:tcBorders>
            <w:vAlign w:val="center"/>
            <w:hideMark/>
          </w:tcPr>
          <w:p w:rsidR="0069481E" w:rsidRPr="0069481E" w:rsidRDefault="0069481E" w:rsidP="0069481E">
            <w:pPr>
              <w:widowControl/>
              <w:spacing w:line="338" w:lineRule="atLeast"/>
              <w:jc w:val="center"/>
              <w:rPr>
                <w:rFonts w:ascii="宋体" w:eastAsia="宋体" w:hAnsi="宋体" w:cs="宋体"/>
                <w:kern w:val="0"/>
                <w:sz w:val="24"/>
                <w:szCs w:val="24"/>
              </w:rPr>
            </w:pPr>
            <w:r w:rsidRPr="0069481E">
              <w:rPr>
                <w:rFonts w:ascii="宋体" w:eastAsia="宋体" w:hAnsi="宋体" w:cs="宋体" w:hint="eastAsia"/>
                <w:kern w:val="0"/>
                <w:sz w:val="24"/>
                <w:szCs w:val="24"/>
              </w:rPr>
              <w:t>发行日期</w:t>
            </w:r>
          </w:p>
        </w:tc>
        <w:tc>
          <w:tcPr>
            <w:tcW w:w="6555" w:type="dxa"/>
            <w:tcBorders>
              <w:top w:val="nil"/>
              <w:left w:val="nil"/>
              <w:bottom w:val="outset" w:sz="6" w:space="0" w:color="000000"/>
              <w:right w:val="outset" w:sz="6" w:space="0" w:color="000000"/>
            </w:tcBorders>
            <w:hideMark/>
          </w:tcPr>
          <w:p w:rsidR="0069481E" w:rsidRPr="0069481E" w:rsidRDefault="0069481E" w:rsidP="0069481E">
            <w:pPr>
              <w:widowControl/>
              <w:spacing w:line="338" w:lineRule="atLeast"/>
              <w:ind w:left="105"/>
              <w:jc w:val="left"/>
              <w:rPr>
                <w:rFonts w:ascii="宋体" w:eastAsia="宋体" w:hAnsi="宋体" w:cs="宋体"/>
                <w:kern w:val="0"/>
                <w:sz w:val="24"/>
                <w:szCs w:val="24"/>
              </w:rPr>
            </w:pPr>
            <w:r w:rsidRPr="0069481E">
              <w:rPr>
                <w:rFonts w:ascii="宋体" w:eastAsia="宋体" w:hAnsi="宋体" w:cs="宋体" w:hint="eastAsia"/>
                <w:kern w:val="0"/>
                <w:sz w:val="24"/>
                <w:szCs w:val="24"/>
              </w:rPr>
              <w:t>2019年10月15日</w:t>
            </w:r>
          </w:p>
          <w:p w:rsidR="0069481E" w:rsidRPr="0069481E" w:rsidRDefault="0069481E" w:rsidP="0069481E">
            <w:pPr>
              <w:widowControl/>
              <w:spacing w:line="338" w:lineRule="atLeast"/>
              <w:ind w:left="105"/>
              <w:jc w:val="left"/>
              <w:rPr>
                <w:rFonts w:ascii="宋体" w:eastAsia="宋体" w:hAnsi="宋体" w:cs="宋体"/>
                <w:kern w:val="0"/>
                <w:sz w:val="24"/>
                <w:szCs w:val="24"/>
              </w:rPr>
            </w:pPr>
            <w:r w:rsidRPr="0069481E">
              <w:rPr>
                <w:rFonts w:ascii="宋体" w:eastAsia="宋体" w:hAnsi="宋体" w:cs="宋体" w:hint="eastAsia"/>
                <w:kern w:val="0"/>
                <w:sz w:val="24"/>
                <w:szCs w:val="24"/>
              </w:rPr>
              <w:t>（当募集规模接近或达到约定的规模上限时，管理人将自次日起暂停接受参与申请；参与申请合计超过规模上限时，管理人以最高募集规模为上限，按“金额优先，时间优先”的原则进行确认）</w:t>
            </w:r>
          </w:p>
        </w:tc>
      </w:tr>
      <w:tr w:rsidR="0069481E" w:rsidRPr="0069481E" w:rsidTr="0069481E">
        <w:tc>
          <w:tcPr>
            <w:tcW w:w="2130" w:type="dxa"/>
            <w:tcBorders>
              <w:top w:val="nil"/>
              <w:left w:val="outset" w:sz="6" w:space="0" w:color="000000"/>
              <w:bottom w:val="outset" w:sz="6" w:space="0" w:color="000000"/>
              <w:right w:val="outset" w:sz="6" w:space="0" w:color="000000"/>
            </w:tcBorders>
            <w:vAlign w:val="center"/>
            <w:hideMark/>
          </w:tcPr>
          <w:p w:rsidR="0069481E" w:rsidRPr="0069481E" w:rsidRDefault="0069481E" w:rsidP="0069481E">
            <w:pPr>
              <w:widowControl/>
              <w:spacing w:line="338" w:lineRule="atLeast"/>
              <w:jc w:val="center"/>
              <w:rPr>
                <w:rFonts w:ascii="宋体" w:eastAsia="宋体" w:hAnsi="宋体" w:cs="宋体"/>
                <w:kern w:val="0"/>
                <w:sz w:val="24"/>
                <w:szCs w:val="24"/>
              </w:rPr>
            </w:pPr>
            <w:r w:rsidRPr="0069481E">
              <w:rPr>
                <w:rFonts w:ascii="宋体" w:eastAsia="宋体" w:hAnsi="宋体" w:cs="宋体" w:hint="eastAsia"/>
                <w:kern w:val="0"/>
                <w:sz w:val="24"/>
                <w:szCs w:val="24"/>
              </w:rPr>
              <w:t>运作周期</w:t>
            </w:r>
          </w:p>
        </w:tc>
        <w:tc>
          <w:tcPr>
            <w:tcW w:w="6555" w:type="dxa"/>
            <w:tcBorders>
              <w:top w:val="nil"/>
              <w:left w:val="nil"/>
              <w:bottom w:val="outset" w:sz="6" w:space="0" w:color="000000"/>
              <w:right w:val="outset" w:sz="6" w:space="0" w:color="000000"/>
            </w:tcBorders>
            <w:hideMark/>
          </w:tcPr>
          <w:p w:rsidR="0069481E" w:rsidRPr="0069481E" w:rsidRDefault="0069481E" w:rsidP="0069481E">
            <w:pPr>
              <w:widowControl/>
              <w:spacing w:line="338" w:lineRule="atLeast"/>
              <w:ind w:left="105"/>
              <w:jc w:val="left"/>
              <w:rPr>
                <w:rFonts w:ascii="宋体" w:eastAsia="宋体" w:hAnsi="宋体" w:cs="宋体"/>
                <w:kern w:val="0"/>
                <w:sz w:val="24"/>
                <w:szCs w:val="24"/>
              </w:rPr>
            </w:pPr>
            <w:r w:rsidRPr="0069481E">
              <w:rPr>
                <w:rFonts w:ascii="宋体" w:eastAsia="宋体" w:hAnsi="宋体" w:cs="宋体" w:hint="eastAsia"/>
                <w:kern w:val="0"/>
                <w:sz w:val="24"/>
                <w:szCs w:val="24"/>
              </w:rPr>
              <w:t>起息日2019年10月17日，到期日2020年4月20日</w:t>
            </w:r>
          </w:p>
          <w:p w:rsidR="0069481E" w:rsidRPr="0069481E" w:rsidRDefault="0069481E" w:rsidP="0069481E">
            <w:pPr>
              <w:widowControl/>
              <w:spacing w:line="338" w:lineRule="atLeast"/>
              <w:ind w:left="105"/>
              <w:jc w:val="left"/>
              <w:rPr>
                <w:rFonts w:ascii="宋体" w:eastAsia="宋体" w:hAnsi="宋体" w:cs="宋体"/>
                <w:kern w:val="0"/>
                <w:sz w:val="24"/>
                <w:szCs w:val="24"/>
              </w:rPr>
            </w:pPr>
            <w:r w:rsidRPr="0069481E">
              <w:rPr>
                <w:rFonts w:ascii="宋体" w:eastAsia="宋体" w:hAnsi="宋体" w:cs="宋体" w:hint="eastAsia"/>
                <w:kern w:val="0"/>
                <w:sz w:val="24"/>
                <w:szCs w:val="24"/>
              </w:rPr>
              <w:t>（运作周期内不开放退出，到期终止结算，无需赎回操作）</w:t>
            </w:r>
          </w:p>
        </w:tc>
      </w:tr>
      <w:tr w:rsidR="0069481E" w:rsidRPr="0069481E" w:rsidTr="0069481E">
        <w:tc>
          <w:tcPr>
            <w:tcW w:w="2130" w:type="dxa"/>
            <w:tcBorders>
              <w:top w:val="nil"/>
              <w:left w:val="outset" w:sz="6" w:space="0" w:color="000000"/>
              <w:bottom w:val="outset" w:sz="6" w:space="0" w:color="000000"/>
              <w:right w:val="outset" w:sz="6" w:space="0" w:color="000000"/>
            </w:tcBorders>
            <w:vAlign w:val="center"/>
            <w:hideMark/>
          </w:tcPr>
          <w:p w:rsidR="0069481E" w:rsidRPr="0069481E" w:rsidRDefault="0069481E" w:rsidP="0069481E">
            <w:pPr>
              <w:widowControl/>
              <w:spacing w:line="338" w:lineRule="atLeast"/>
              <w:jc w:val="center"/>
              <w:rPr>
                <w:rFonts w:ascii="宋体" w:eastAsia="宋体" w:hAnsi="宋体" w:cs="宋体"/>
                <w:kern w:val="0"/>
                <w:sz w:val="24"/>
                <w:szCs w:val="24"/>
              </w:rPr>
            </w:pPr>
            <w:r w:rsidRPr="0069481E">
              <w:rPr>
                <w:rFonts w:ascii="宋体" w:eastAsia="宋体" w:hAnsi="宋体" w:cs="宋体" w:hint="eastAsia"/>
                <w:kern w:val="0"/>
                <w:sz w:val="24"/>
                <w:szCs w:val="24"/>
              </w:rPr>
              <w:t>计息天数</w:t>
            </w:r>
          </w:p>
        </w:tc>
        <w:tc>
          <w:tcPr>
            <w:tcW w:w="6555" w:type="dxa"/>
            <w:tcBorders>
              <w:top w:val="nil"/>
              <w:left w:val="nil"/>
              <w:bottom w:val="outset" w:sz="6" w:space="0" w:color="000000"/>
              <w:right w:val="outset" w:sz="6" w:space="0" w:color="000000"/>
            </w:tcBorders>
            <w:hideMark/>
          </w:tcPr>
          <w:p w:rsidR="0069481E" w:rsidRPr="0069481E" w:rsidRDefault="0069481E" w:rsidP="0069481E">
            <w:pPr>
              <w:widowControl/>
              <w:spacing w:line="338" w:lineRule="atLeast"/>
              <w:ind w:firstLine="120"/>
              <w:jc w:val="left"/>
              <w:rPr>
                <w:rFonts w:ascii="宋体" w:eastAsia="宋体" w:hAnsi="宋体" w:cs="宋体"/>
                <w:kern w:val="0"/>
                <w:sz w:val="24"/>
                <w:szCs w:val="24"/>
              </w:rPr>
            </w:pPr>
            <w:r w:rsidRPr="0069481E">
              <w:rPr>
                <w:rFonts w:ascii="宋体" w:eastAsia="宋体" w:hAnsi="宋体" w:cs="宋体" w:hint="eastAsia"/>
                <w:kern w:val="0"/>
                <w:sz w:val="24"/>
                <w:szCs w:val="24"/>
              </w:rPr>
              <w:t>187天</w:t>
            </w:r>
          </w:p>
        </w:tc>
      </w:tr>
      <w:tr w:rsidR="0069481E" w:rsidRPr="0069481E" w:rsidTr="0069481E">
        <w:tc>
          <w:tcPr>
            <w:tcW w:w="2130" w:type="dxa"/>
            <w:tcBorders>
              <w:top w:val="nil"/>
              <w:left w:val="outset" w:sz="6" w:space="0" w:color="000000"/>
              <w:bottom w:val="outset" w:sz="6" w:space="0" w:color="000000"/>
              <w:right w:val="outset" w:sz="6" w:space="0" w:color="000000"/>
            </w:tcBorders>
            <w:vAlign w:val="center"/>
            <w:hideMark/>
          </w:tcPr>
          <w:p w:rsidR="0069481E" w:rsidRPr="0069481E" w:rsidRDefault="0069481E" w:rsidP="0069481E">
            <w:pPr>
              <w:widowControl/>
              <w:spacing w:line="338" w:lineRule="atLeast"/>
              <w:jc w:val="center"/>
              <w:rPr>
                <w:rFonts w:ascii="宋体" w:eastAsia="宋体" w:hAnsi="宋体" w:cs="宋体"/>
                <w:kern w:val="0"/>
                <w:sz w:val="24"/>
                <w:szCs w:val="24"/>
              </w:rPr>
            </w:pPr>
            <w:r w:rsidRPr="0069481E">
              <w:rPr>
                <w:rFonts w:ascii="宋体" w:eastAsia="宋体" w:hAnsi="宋体" w:cs="宋体" w:hint="eastAsia"/>
                <w:kern w:val="0"/>
                <w:sz w:val="24"/>
                <w:szCs w:val="24"/>
              </w:rPr>
              <w:t>销售渠道</w:t>
            </w:r>
          </w:p>
        </w:tc>
        <w:tc>
          <w:tcPr>
            <w:tcW w:w="6555" w:type="dxa"/>
            <w:tcBorders>
              <w:top w:val="nil"/>
              <w:left w:val="nil"/>
              <w:bottom w:val="outset" w:sz="6" w:space="0" w:color="000000"/>
              <w:right w:val="outset" w:sz="6" w:space="0" w:color="000000"/>
            </w:tcBorders>
            <w:hideMark/>
          </w:tcPr>
          <w:p w:rsidR="0069481E" w:rsidRPr="0069481E" w:rsidRDefault="0069481E" w:rsidP="0069481E">
            <w:pPr>
              <w:widowControl/>
              <w:spacing w:line="338" w:lineRule="atLeast"/>
              <w:ind w:firstLine="120"/>
              <w:jc w:val="left"/>
              <w:rPr>
                <w:rFonts w:ascii="宋体" w:eastAsia="宋体" w:hAnsi="宋体" w:cs="宋体"/>
                <w:kern w:val="0"/>
                <w:sz w:val="24"/>
                <w:szCs w:val="24"/>
              </w:rPr>
            </w:pPr>
            <w:r w:rsidRPr="0069481E">
              <w:rPr>
                <w:rFonts w:ascii="宋体" w:eastAsia="宋体" w:hAnsi="宋体" w:cs="宋体" w:hint="eastAsia"/>
                <w:kern w:val="0"/>
                <w:sz w:val="24"/>
                <w:szCs w:val="24"/>
              </w:rPr>
              <w:t>民生证券、中天证券、国金证券、上海好买基金销售有限公司、上海陆金</w:t>
            </w:r>
            <w:proofErr w:type="gramStart"/>
            <w:r w:rsidRPr="0069481E">
              <w:rPr>
                <w:rFonts w:ascii="宋体" w:eastAsia="宋体" w:hAnsi="宋体" w:cs="宋体" w:hint="eastAsia"/>
                <w:kern w:val="0"/>
                <w:sz w:val="24"/>
                <w:szCs w:val="24"/>
              </w:rPr>
              <w:t>所基金</w:t>
            </w:r>
            <w:proofErr w:type="gramEnd"/>
            <w:r w:rsidRPr="0069481E">
              <w:rPr>
                <w:rFonts w:ascii="宋体" w:eastAsia="宋体" w:hAnsi="宋体" w:cs="宋体" w:hint="eastAsia"/>
                <w:kern w:val="0"/>
                <w:sz w:val="24"/>
                <w:szCs w:val="24"/>
              </w:rPr>
              <w:t>销售有限公司、上海天天基金销售有限公司、华瑞保险销售有限公司、南洋商业银行、北京肯特瑞基金销售有限公司</w:t>
            </w:r>
          </w:p>
        </w:tc>
      </w:tr>
      <w:tr w:rsidR="0069481E" w:rsidRPr="0069481E" w:rsidTr="0069481E">
        <w:tc>
          <w:tcPr>
            <w:tcW w:w="2130" w:type="dxa"/>
            <w:tcBorders>
              <w:top w:val="nil"/>
              <w:left w:val="outset" w:sz="6" w:space="0" w:color="000000"/>
              <w:bottom w:val="outset" w:sz="6" w:space="0" w:color="000000"/>
              <w:right w:val="outset" w:sz="6" w:space="0" w:color="000000"/>
            </w:tcBorders>
            <w:vAlign w:val="center"/>
            <w:hideMark/>
          </w:tcPr>
          <w:p w:rsidR="0069481E" w:rsidRPr="0069481E" w:rsidRDefault="0069481E" w:rsidP="0069481E">
            <w:pPr>
              <w:widowControl/>
              <w:spacing w:line="338" w:lineRule="atLeast"/>
              <w:jc w:val="center"/>
              <w:rPr>
                <w:rFonts w:ascii="宋体" w:eastAsia="宋体" w:hAnsi="宋体" w:cs="宋体"/>
                <w:kern w:val="0"/>
                <w:sz w:val="24"/>
                <w:szCs w:val="24"/>
              </w:rPr>
            </w:pPr>
            <w:r w:rsidRPr="0069481E">
              <w:rPr>
                <w:rFonts w:ascii="宋体" w:eastAsia="宋体" w:hAnsi="宋体" w:cs="宋体" w:hint="eastAsia"/>
                <w:kern w:val="0"/>
                <w:sz w:val="24"/>
                <w:szCs w:val="24"/>
              </w:rPr>
              <w:t>首次参与最低金额</w:t>
            </w:r>
          </w:p>
        </w:tc>
        <w:tc>
          <w:tcPr>
            <w:tcW w:w="6555" w:type="dxa"/>
            <w:tcBorders>
              <w:top w:val="nil"/>
              <w:left w:val="nil"/>
              <w:bottom w:val="outset" w:sz="6" w:space="0" w:color="000000"/>
              <w:right w:val="outset" w:sz="6" w:space="0" w:color="000000"/>
            </w:tcBorders>
            <w:hideMark/>
          </w:tcPr>
          <w:p w:rsidR="0069481E" w:rsidRPr="0069481E" w:rsidRDefault="0069481E" w:rsidP="0069481E">
            <w:pPr>
              <w:widowControl/>
              <w:spacing w:line="338" w:lineRule="atLeast"/>
              <w:ind w:firstLine="120"/>
              <w:jc w:val="left"/>
              <w:rPr>
                <w:rFonts w:ascii="宋体" w:eastAsia="宋体" w:hAnsi="宋体" w:cs="宋体"/>
                <w:kern w:val="0"/>
                <w:sz w:val="24"/>
                <w:szCs w:val="24"/>
              </w:rPr>
            </w:pPr>
            <w:r w:rsidRPr="0069481E">
              <w:rPr>
                <w:rFonts w:ascii="宋体" w:eastAsia="宋体" w:hAnsi="宋体" w:cs="宋体" w:hint="eastAsia"/>
                <w:kern w:val="0"/>
                <w:sz w:val="24"/>
                <w:szCs w:val="24"/>
              </w:rPr>
              <w:t>人民币5万元</w:t>
            </w:r>
          </w:p>
        </w:tc>
      </w:tr>
      <w:tr w:rsidR="0069481E" w:rsidRPr="0069481E" w:rsidTr="0069481E">
        <w:tc>
          <w:tcPr>
            <w:tcW w:w="2130" w:type="dxa"/>
            <w:tcBorders>
              <w:top w:val="nil"/>
              <w:left w:val="outset" w:sz="6" w:space="0" w:color="000000"/>
              <w:bottom w:val="outset" w:sz="6" w:space="0" w:color="000000"/>
              <w:right w:val="outset" w:sz="6" w:space="0" w:color="000000"/>
            </w:tcBorders>
            <w:vAlign w:val="center"/>
            <w:hideMark/>
          </w:tcPr>
          <w:p w:rsidR="0069481E" w:rsidRPr="0069481E" w:rsidRDefault="0069481E" w:rsidP="0069481E">
            <w:pPr>
              <w:widowControl/>
              <w:spacing w:line="338" w:lineRule="atLeast"/>
              <w:jc w:val="center"/>
              <w:rPr>
                <w:rFonts w:ascii="宋体" w:eastAsia="宋体" w:hAnsi="宋体" w:cs="宋体"/>
                <w:kern w:val="0"/>
                <w:sz w:val="24"/>
                <w:szCs w:val="24"/>
              </w:rPr>
            </w:pPr>
            <w:r w:rsidRPr="0069481E">
              <w:rPr>
                <w:rFonts w:ascii="宋体" w:eastAsia="宋体" w:hAnsi="宋体" w:cs="宋体" w:hint="eastAsia"/>
                <w:kern w:val="0"/>
                <w:sz w:val="24"/>
                <w:szCs w:val="24"/>
              </w:rPr>
              <w:t>追加参与最低金额</w:t>
            </w:r>
          </w:p>
        </w:tc>
        <w:tc>
          <w:tcPr>
            <w:tcW w:w="6555" w:type="dxa"/>
            <w:tcBorders>
              <w:top w:val="nil"/>
              <w:left w:val="nil"/>
              <w:bottom w:val="outset" w:sz="6" w:space="0" w:color="000000"/>
              <w:right w:val="outset" w:sz="6" w:space="0" w:color="000000"/>
            </w:tcBorders>
            <w:hideMark/>
          </w:tcPr>
          <w:p w:rsidR="0069481E" w:rsidRPr="0069481E" w:rsidRDefault="0069481E" w:rsidP="0069481E">
            <w:pPr>
              <w:widowControl/>
              <w:spacing w:line="338" w:lineRule="atLeast"/>
              <w:ind w:firstLine="120"/>
              <w:jc w:val="left"/>
              <w:rPr>
                <w:rFonts w:ascii="宋体" w:eastAsia="宋体" w:hAnsi="宋体" w:cs="宋体"/>
                <w:kern w:val="0"/>
                <w:sz w:val="24"/>
                <w:szCs w:val="24"/>
              </w:rPr>
            </w:pPr>
            <w:r w:rsidRPr="0069481E">
              <w:rPr>
                <w:rFonts w:ascii="宋体" w:eastAsia="宋体" w:hAnsi="宋体" w:cs="宋体" w:hint="eastAsia"/>
                <w:kern w:val="0"/>
                <w:sz w:val="24"/>
                <w:szCs w:val="24"/>
              </w:rPr>
              <w:t>人民币100元</w:t>
            </w:r>
          </w:p>
        </w:tc>
      </w:tr>
      <w:tr w:rsidR="0069481E" w:rsidRPr="0069481E" w:rsidTr="0069481E">
        <w:tc>
          <w:tcPr>
            <w:tcW w:w="2130" w:type="dxa"/>
            <w:tcBorders>
              <w:top w:val="nil"/>
              <w:left w:val="outset" w:sz="6" w:space="0" w:color="000000"/>
              <w:bottom w:val="outset" w:sz="6" w:space="0" w:color="000000"/>
              <w:right w:val="outset" w:sz="6" w:space="0" w:color="000000"/>
            </w:tcBorders>
            <w:vAlign w:val="center"/>
            <w:hideMark/>
          </w:tcPr>
          <w:p w:rsidR="0069481E" w:rsidRPr="0069481E" w:rsidRDefault="0069481E" w:rsidP="0069481E">
            <w:pPr>
              <w:widowControl/>
              <w:spacing w:line="338" w:lineRule="atLeast"/>
              <w:jc w:val="center"/>
              <w:rPr>
                <w:rFonts w:ascii="宋体" w:eastAsia="宋体" w:hAnsi="宋体" w:cs="宋体"/>
                <w:kern w:val="0"/>
                <w:sz w:val="24"/>
                <w:szCs w:val="24"/>
              </w:rPr>
            </w:pPr>
            <w:r w:rsidRPr="0069481E">
              <w:rPr>
                <w:rFonts w:ascii="宋体" w:eastAsia="宋体" w:hAnsi="宋体" w:cs="宋体" w:hint="eastAsia"/>
                <w:kern w:val="0"/>
                <w:sz w:val="24"/>
                <w:szCs w:val="24"/>
              </w:rPr>
              <w:t>风险提示</w:t>
            </w:r>
          </w:p>
        </w:tc>
        <w:tc>
          <w:tcPr>
            <w:tcW w:w="6555" w:type="dxa"/>
            <w:tcBorders>
              <w:top w:val="nil"/>
              <w:left w:val="nil"/>
              <w:bottom w:val="outset" w:sz="6" w:space="0" w:color="000000"/>
              <w:right w:val="outset" w:sz="6" w:space="0" w:color="000000"/>
            </w:tcBorders>
            <w:hideMark/>
          </w:tcPr>
          <w:p w:rsidR="0069481E" w:rsidRPr="0069481E" w:rsidRDefault="0069481E" w:rsidP="0069481E">
            <w:pPr>
              <w:widowControl/>
              <w:spacing w:line="338" w:lineRule="atLeast"/>
              <w:ind w:left="105"/>
              <w:jc w:val="left"/>
              <w:rPr>
                <w:rFonts w:ascii="宋体" w:eastAsia="宋体" w:hAnsi="宋体" w:cs="宋体"/>
                <w:kern w:val="0"/>
                <w:sz w:val="24"/>
                <w:szCs w:val="24"/>
              </w:rPr>
            </w:pPr>
            <w:r w:rsidRPr="0069481E">
              <w:rPr>
                <w:rFonts w:ascii="宋体" w:eastAsia="宋体" w:hAnsi="宋体" w:cs="宋体" w:hint="eastAsia"/>
                <w:kern w:val="0"/>
                <w:sz w:val="24"/>
                <w:szCs w:val="24"/>
              </w:rPr>
              <w:t>1、本期产品暂不设置预约参与机制，如有投资需求请投资者于开放日进行参与申请，请知悉。</w:t>
            </w:r>
          </w:p>
          <w:p w:rsidR="0069481E" w:rsidRPr="0069481E" w:rsidRDefault="0069481E" w:rsidP="0069481E">
            <w:pPr>
              <w:widowControl/>
              <w:spacing w:line="338" w:lineRule="atLeast"/>
              <w:ind w:left="105"/>
              <w:jc w:val="left"/>
              <w:rPr>
                <w:rFonts w:ascii="宋体" w:eastAsia="宋体" w:hAnsi="宋体" w:cs="宋体"/>
                <w:kern w:val="0"/>
                <w:sz w:val="24"/>
                <w:szCs w:val="24"/>
              </w:rPr>
            </w:pPr>
            <w:r w:rsidRPr="0069481E">
              <w:rPr>
                <w:rFonts w:ascii="宋体" w:eastAsia="宋体" w:hAnsi="宋体" w:cs="宋体" w:hint="eastAsia"/>
                <w:kern w:val="0"/>
                <w:sz w:val="24"/>
                <w:szCs w:val="24"/>
              </w:rPr>
              <w:t>2、管理人有权根据产品发行情况调整开放日、起息日等信息，敬请投资者注意相关公告。</w:t>
            </w:r>
          </w:p>
          <w:p w:rsidR="0069481E" w:rsidRPr="0069481E" w:rsidRDefault="0069481E" w:rsidP="0069481E">
            <w:pPr>
              <w:widowControl/>
              <w:spacing w:line="338" w:lineRule="atLeast"/>
              <w:ind w:left="105"/>
              <w:jc w:val="left"/>
              <w:rPr>
                <w:rFonts w:ascii="宋体" w:eastAsia="宋体" w:hAnsi="宋体" w:cs="宋体"/>
                <w:kern w:val="0"/>
                <w:sz w:val="24"/>
                <w:szCs w:val="24"/>
              </w:rPr>
            </w:pPr>
            <w:r w:rsidRPr="0069481E">
              <w:rPr>
                <w:rFonts w:ascii="宋体" w:eastAsia="宋体" w:hAnsi="宋体" w:cs="宋体" w:hint="eastAsia"/>
                <w:kern w:val="0"/>
                <w:sz w:val="24"/>
                <w:szCs w:val="24"/>
              </w:rPr>
              <w:t>3、本管理人承诺以诚实信用、勤勉尽责的原则管理和运用委托资产，但不保证集合计划一定盈利，也不保证最低收益。投资者投资于本集合计划时应认真阅读本集合计划的资产管理合同等相关法律文件。</w:t>
            </w:r>
          </w:p>
          <w:p w:rsidR="0069481E" w:rsidRPr="0069481E" w:rsidRDefault="0069481E" w:rsidP="0069481E">
            <w:pPr>
              <w:widowControl/>
              <w:spacing w:line="338" w:lineRule="atLeast"/>
              <w:ind w:left="105"/>
              <w:jc w:val="left"/>
              <w:rPr>
                <w:rFonts w:ascii="宋体" w:eastAsia="宋体" w:hAnsi="宋体" w:cs="宋体"/>
                <w:kern w:val="0"/>
                <w:sz w:val="24"/>
                <w:szCs w:val="24"/>
              </w:rPr>
            </w:pPr>
            <w:r w:rsidRPr="0069481E">
              <w:rPr>
                <w:rFonts w:ascii="宋体" w:eastAsia="宋体" w:hAnsi="宋体" w:cs="宋体" w:hint="eastAsia"/>
                <w:kern w:val="0"/>
                <w:sz w:val="24"/>
                <w:szCs w:val="24"/>
              </w:rPr>
              <w:t>4、本产品所披露的业绩基准仅供投资者参考，不构成管理人对投资者的承诺，投资风险由投资者自行承担。</w:t>
            </w:r>
          </w:p>
          <w:p w:rsidR="0069481E" w:rsidRPr="0069481E" w:rsidRDefault="0069481E" w:rsidP="0069481E">
            <w:pPr>
              <w:widowControl/>
              <w:spacing w:line="338" w:lineRule="atLeast"/>
              <w:ind w:left="105"/>
              <w:jc w:val="left"/>
              <w:rPr>
                <w:rFonts w:ascii="宋体" w:eastAsia="宋体" w:hAnsi="宋体" w:cs="宋体"/>
                <w:kern w:val="0"/>
                <w:sz w:val="24"/>
                <w:szCs w:val="24"/>
              </w:rPr>
            </w:pPr>
            <w:r w:rsidRPr="0069481E">
              <w:rPr>
                <w:rFonts w:ascii="宋体" w:eastAsia="宋体" w:hAnsi="宋体" w:cs="宋体" w:hint="eastAsia"/>
                <w:kern w:val="0"/>
                <w:sz w:val="24"/>
                <w:szCs w:val="24"/>
              </w:rPr>
              <w:t>详细的风险</w:t>
            </w:r>
            <w:proofErr w:type="gramStart"/>
            <w:r w:rsidRPr="0069481E">
              <w:rPr>
                <w:rFonts w:ascii="宋体" w:eastAsia="宋体" w:hAnsi="宋体" w:cs="宋体" w:hint="eastAsia"/>
                <w:kern w:val="0"/>
                <w:sz w:val="24"/>
                <w:szCs w:val="24"/>
              </w:rPr>
              <w:t>揭示请</w:t>
            </w:r>
            <w:proofErr w:type="gramEnd"/>
            <w:r w:rsidRPr="0069481E">
              <w:rPr>
                <w:rFonts w:ascii="宋体" w:eastAsia="宋体" w:hAnsi="宋体" w:cs="宋体" w:hint="eastAsia"/>
                <w:kern w:val="0"/>
                <w:sz w:val="24"/>
                <w:szCs w:val="24"/>
              </w:rPr>
              <w:t>投资者注意阅读资产管理合同及风险揭示书。</w:t>
            </w:r>
          </w:p>
        </w:tc>
      </w:tr>
    </w:tbl>
    <w:p w:rsidR="0069481E" w:rsidRPr="0069481E" w:rsidRDefault="0069481E" w:rsidP="0069481E">
      <w:pPr>
        <w:widowControl/>
        <w:shd w:val="clear" w:color="auto" w:fill="FFFFFF"/>
        <w:spacing w:line="338" w:lineRule="atLeast"/>
        <w:ind w:firstLine="480"/>
        <w:jc w:val="left"/>
        <w:rPr>
          <w:rFonts w:ascii="Arial" w:eastAsia="宋体" w:hAnsi="Arial" w:cs="Arial"/>
          <w:color w:val="4C4C4C"/>
          <w:kern w:val="0"/>
          <w:sz w:val="23"/>
          <w:szCs w:val="23"/>
        </w:rPr>
      </w:pPr>
      <w:r w:rsidRPr="0069481E">
        <w:rPr>
          <w:rFonts w:ascii="宋体" w:eastAsia="宋体" w:hAnsi="宋体" w:cs="Arial" w:hint="eastAsia"/>
          <w:color w:val="4C4C4C"/>
          <w:kern w:val="0"/>
          <w:sz w:val="24"/>
          <w:szCs w:val="24"/>
        </w:rPr>
        <w:t>投资者可登录管理人网站（www.cjzcgl.com）或拨打客服热线4001-166-866查询本集合计划详细信息。</w:t>
      </w:r>
    </w:p>
    <w:p w:rsidR="0069481E" w:rsidRPr="0069481E" w:rsidRDefault="0069481E" w:rsidP="0069481E">
      <w:pPr>
        <w:widowControl/>
        <w:shd w:val="clear" w:color="auto" w:fill="FFFFFF"/>
        <w:spacing w:line="338" w:lineRule="atLeast"/>
        <w:ind w:firstLine="480"/>
        <w:jc w:val="left"/>
        <w:rPr>
          <w:rFonts w:ascii="Arial" w:eastAsia="宋体" w:hAnsi="Arial" w:cs="Arial"/>
          <w:color w:val="4C4C4C"/>
          <w:kern w:val="0"/>
          <w:sz w:val="23"/>
          <w:szCs w:val="23"/>
        </w:rPr>
      </w:pPr>
      <w:r w:rsidRPr="0069481E">
        <w:rPr>
          <w:rFonts w:ascii="宋体" w:eastAsia="宋体" w:hAnsi="宋体" w:cs="Arial" w:hint="eastAsia"/>
          <w:color w:val="4C4C4C"/>
          <w:kern w:val="0"/>
          <w:sz w:val="24"/>
          <w:szCs w:val="24"/>
        </w:rPr>
        <w:t>特此公告。 </w:t>
      </w:r>
    </w:p>
    <w:p w:rsidR="0069481E" w:rsidRPr="0069481E" w:rsidRDefault="0069481E" w:rsidP="0069481E">
      <w:pPr>
        <w:widowControl/>
        <w:shd w:val="clear" w:color="auto" w:fill="FFFFFF"/>
        <w:spacing w:line="338" w:lineRule="atLeast"/>
        <w:ind w:firstLine="480"/>
        <w:jc w:val="left"/>
        <w:rPr>
          <w:rFonts w:ascii="Arial" w:eastAsia="宋体" w:hAnsi="Arial" w:cs="Arial"/>
          <w:color w:val="4C4C4C"/>
          <w:kern w:val="0"/>
          <w:sz w:val="23"/>
          <w:szCs w:val="23"/>
        </w:rPr>
      </w:pPr>
      <w:r w:rsidRPr="0069481E">
        <w:rPr>
          <w:rFonts w:ascii="宋体" w:eastAsia="宋体" w:hAnsi="宋体" w:cs="Arial" w:hint="eastAsia"/>
          <w:color w:val="4C4C4C"/>
          <w:kern w:val="0"/>
          <w:sz w:val="24"/>
          <w:szCs w:val="24"/>
        </w:rPr>
        <w:t> </w:t>
      </w:r>
    </w:p>
    <w:p w:rsidR="0069481E" w:rsidRPr="0069481E" w:rsidRDefault="0069481E" w:rsidP="0069481E">
      <w:pPr>
        <w:widowControl/>
        <w:shd w:val="clear" w:color="auto" w:fill="FFFFFF"/>
        <w:spacing w:line="338" w:lineRule="atLeast"/>
        <w:ind w:firstLine="480"/>
        <w:jc w:val="left"/>
        <w:rPr>
          <w:rFonts w:ascii="Arial" w:eastAsia="宋体" w:hAnsi="Arial" w:cs="Arial"/>
          <w:color w:val="4C4C4C"/>
          <w:kern w:val="0"/>
          <w:sz w:val="23"/>
          <w:szCs w:val="23"/>
        </w:rPr>
      </w:pPr>
      <w:r w:rsidRPr="0069481E">
        <w:rPr>
          <w:rFonts w:ascii="宋体" w:eastAsia="宋体" w:hAnsi="宋体" w:cs="Arial" w:hint="eastAsia"/>
          <w:color w:val="4C4C4C"/>
          <w:kern w:val="0"/>
          <w:sz w:val="24"/>
          <w:szCs w:val="24"/>
        </w:rPr>
        <w:t> </w:t>
      </w:r>
    </w:p>
    <w:p w:rsidR="0069481E" w:rsidRPr="0069481E" w:rsidRDefault="0069481E" w:rsidP="0069481E">
      <w:pPr>
        <w:widowControl/>
        <w:shd w:val="clear" w:color="auto" w:fill="FFFFFF"/>
        <w:spacing w:line="338" w:lineRule="atLeast"/>
        <w:jc w:val="right"/>
        <w:rPr>
          <w:rFonts w:ascii="Arial" w:eastAsia="宋体" w:hAnsi="Arial" w:cs="Arial"/>
          <w:color w:val="4C4C4C"/>
          <w:kern w:val="0"/>
          <w:sz w:val="23"/>
          <w:szCs w:val="23"/>
        </w:rPr>
      </w:pPr>
      <w:r w:rsidRPr="0069481E">
        <w:rPr>
          <w:rFonts w:ascii="宋体" w:eastAsia="宋体" w:hAnsi="宋体" w:cs="Arial" w:hint="eastAsia"/>
          <w:color w:val="4C4C4C"/>
          <w:kern w:val="0"/>
          <w:sz w:val="24"/>
          <w:szCs w:val="24"/>
        </w:rPr>
        <w:t>长江证券（上海）资产管理有限公司</w:t>
      </w:r>
    </w:p>
    <w:p w:rsidR="0069481E" w:rsidRPr="0069481E" w:rsidRDefault="0069481E" w:rsidP="0069481E">
      <w:pPr>
        <w:widowControl/>
        <w:shd w:val="clear" w:color="auto" w:fill="FFFFFF"/>
        <w:spacing w:line="338" w:lineRule="atLeast"/>
        <w:jc w:val="right"/>
        <w:rPr>
          <w:rFonts w:ascii="Arial" w:eastAsia="宋体" w:hAnsi="Arial" w:cs="Arial"/>
          <w:color w:val="4C4C4C"/>
          <w:kern w:val="0"/>
          <w:sz w:val="23"/>
          <w:szCs w:val="23"/>
        </w:rPr>
      </w:pPr>
      <w:r w:rsidRPr="0069481E">
        <w:rPr>
          <w:rFonts w:ascii="宋体" w:eastAsia="宋体" w:hAnsi="宋体" w:cs="Arial" w:hint="eastAsia"/>
          <w:color w:val="4C4C4C"/>
          <w:kern w:val="0"/>
          <w:sz w:val="24"/>
          <w:szCs w:val="24"/>
        </w:rPr>
        <w:t>二○一九年十月十五日</w:t>
      </w:r>
    </w:p>
    <w:p w:rsidR="00ED3B3B" w:rsidRDefault="00ED3B3B">
      <w:bookmarkStart w:id="0" w:name="_GoBack"/>
      <w:bookmarkEnd w:id="0"/>
    </w:p>
    <w:sectPr w:rsidR="00ED3B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6F"/>
    <w:rsid w:val="0069481E"/>
    <w:rsid w:val="00A20D6F"/>
    <w:rsid w:val="00ED3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9481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69481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9481E"/>
    <w:rPr>
      <w:rFonts w:ascii="宋体" w:eastAsia="宋体" w:hAnsi="宋体" w:cs="宋体"/>
      <w:b/>
      <w:bCs/>
      <w:kern w:val="0"/>
      <w:sz w:val="36"/>
      <w:szCs w:val="36"/>
    </w:rPr>
  </w:style>
  <w:style w:type="character" w:customStyle="1" w:styleId="3Char">
    <w:name w:val="标题 3 Char"/>
    <w:basedOn w:val="a0"/>
    <w:link w:val="3"/>
    <w:uiPriority w:val="9"/>
    <w:rsid w:val="0069481E"/>
    <w:rPr>
      <w:rFonts w:ascii="宋体" w:eastAsia="宋体" w:hAnsi="宋体" w:cs="宋体"/>
      <w:b/>
      <w:bCs/>
      <w:kern w:val="0"/>
      <w:sz w:val="27"/>
      <w:szCs w:val="27"/>
    </w:rPr>
  </w:style>
  <w:style w:type="paragraph" w:styleId="a3">
    <w:name w:val="Normal (Web)"/>
    <w:basedOn w:val="a"/>
    <w:uiPriority w:val="99"/>
    <w:unhideWhenUsed/>
    <w:rsid w:val="0069481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9481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69481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9481E"/>
    <w:rPr>
      <w:rFonts w:ascii="宋体" w:eastAsia="宋体" w:hAnsi="宋体" w:cs="宋体"/>
      <w:b/>
      <w:bCs/>
      <w:kern w:val="0"/>
      <w:sz w:val="36"/>
      <w:szCs w:val="36"/>
    </w:rPr>
  </w:style>
  <w:style w:type="character" w:customStyle="1" w:styleId="3Char">
    <w:name w:val="标题 3 Char"/>
    <w:basedOn w:val="a0"/>
    <w:link w:val="3"/>
    <w:uiPriority w:val="9"/>
    <w:rsid w:val="0069481E"/>
    <w:rPr>
      <w:rFonts w:ascii="宋体" w:eastAsia="宋体" w:hAnsi="宋体" w:cs="宋体"/>
      <w:b/>
      <w:bCs/>
      <w:kern w:val="0"/>
      <w:sz w:val="27"/>
      <w:szCs w:val="27"/>
    </w:rPr>
  </w:style>
  <w:style w:type="paragraph" w:styleId="a3">
    <w:name w:val="Normal (Web)"/>
    <w:basedOn w:val="a"/>
    <w:uiPriority w:val="99"/>
    <w:unhideWhenUsed/>
    <w:rsid w:val="0069481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02649">
      <w:bodyDiv w:val="1"/>
      <w:marLeft w:val="0"/>
      <w:marRight w:val="0"/>
      <w:marTop w:val="0"/>
      <w:marBottom w:val="0"/>
      <w:divBdr>
        <w:top w:val="none" w:sz="0" w:space="0" w:color="auto"/>
        <w:left w:val="none" w:sz="0" w:space="0" w:color="auto"/>
        <w:bottom w:val="none" w:sz="0" w:space="0" w:color="auto"/>
        <w:right w:val="none" w:sz="0" w:space="0" w:color="auto"/>
      </w:divBdr>
      <w:divsChild>
        <w:div w:id="584530428">
          <w:marLeft w:val="0"/>
          <w:marRight w:val="0"/>
          <w:marTop w:val="0"/>
          <w:marBottom w:val="0"/>
          <w:divBdr>
            <w:top w:val="none" w:sz="0" w:space="0" w:color="auto"/>
            <w:left w:val="none" w:sz="0" w:space="0" w:color="auto"/>
            <w:bottom w:val="single" w:sz="6" w:space="23" w:color="EBF1F8"/>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宋鹏</dc:creator>
  <cp:keywords/>
  <dc:description/>
  <cp:lastModifiedBy>宋鹏</cp:lastModifiedBy>
  <cp:revision>3</cp:revision>
  <dcterms:created xsi:type="dcterms:W3CDTF">2019-10-15T06:33:00Z</dcterms:created>
  <dcterms:modified xsi:type="dcterms:W3CDTF">2019-10-15T06:33:00Z</dcterms:modified>
</cp:coreProperties>
</file>