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7709" w:rsidRPr="00287709" w:rsidRDefault="00287709" w:rsidP="00287709">
      <w:pPr>
        <w:widowControl/>
        <w:spacing w:line="510" w:lineRule="atLeast"/>
        <w:jc w:val="center"/>
        <w:outlineLvl w:val="0"/>
        <w:rPr>
          <w:rFonts w:ascii="微软雅黑" w:eastAsia="微软雅黑" w:hAnsi="微软雅黑" w:cs="宋体"/>
          <w:color w:val="000000"/>
          <w:kern w:val="36"/>
          <w:sz w:val="30"/>
          <w:szCs w:val="30"/>
        </w:rPr>
      </w:pPr>
      <w:r w:rsidRPr="00287709">
        <w:rPr>
          <w:rFonts w:ascii="微软雅黑" w:eastAsia="微软雅黑" w:hAnsi="微软雅黑" w:cs="宋体" w:hint="eastAsia"/>
          <w:color w:val="000000"/>
          <w:kern w:val="36"/>
          <w:sz w:val="30"/>
          <w:szCs w:val="30"/>
        </w:rPr>
        <w:t>外贸信托-鹏华基金债券增强9期集合资金信托计划 发行公告</w:t>
      </w:r>
    </w:p>
    <w:p w:rsidR="00287709" w:rsidRPr="00287709" w:rsidRDefault="00287709" w:rsidP="00287709">
      <w:pPr>
        <w:widowControl/>
        <w:jc w:val="left"/>
        <w:rPr>
          <w:rFonts w:ascii="微软雅黑" w:eastAsia="微软雅黑" w:hAnsi="微软雅黑" w:cs="宋体" w:hint="eastAsia"/>
          <w:color w:val="555555"/>
          <w:kern w:val="0"/>
          <w:szCs w:val="21"/>
        </w:rPr>
      </w:pPr>
      <w:r w:rsidRPr="00287709">
        <w:rPr>
          <w:rFonts w:ascii="微软雅黑" w:eastAsia="微软雅黑" w:hAnsi="微软雅黑" w:cs="宋体" w:hint="eastAsia"/>
          <w:color w:val="555555"/>
          <w:kern w:val="0"/>
          <w:szCs w:val="21"/>
        </w:rPr>
        <w:t>2019-09-26     </w:t>
      </w:r>
    </w:p>
    <w:p w:rsidR="00287709" w:rsidRPr="00287709" w:rsidRDefault="00287709" w:rsidP="00287709">
      <w:pPr>
        <w:widowControl/>
        <w:spacing w:line="390" w:lineRule="atLeast"/>
        <w:ind w:firstLine="480"/>
        <w:jc w:val="left"/>
        <w:rPr>
          <w:rFonts w:ascii="微软雅黑" w:eastAsia="微软雅黑" w:hAnsi="微软雅黑" w:cs="宋体" w:hint="eastAsia"/>
          <w:color w:val="737373"/>
          <w:kern w:val="0"/>
          <w:szCs w:val="21"/>
        </w:rPr>
      </w:pPr>
      <w:r w:rsidRPr="00287709">
        <w:rPr>
          <w:rFonts w:ascii="微软雅黑" w:eastAsia="微软雅黑" w:hAnsi="微软雅黑" w:cs="宋体" w:hint="eastAsia"/>
          <w:color w:val="737373"/>
          <w:kern w:val="0"/>
          <w:szCs w:val="21"/>
        </w:rPr>
        <w:t>尊敬的委托人/受益人：</w:t>
      </w:r>
    </w:p>
    <w:p w:rsidR="00287709" w:rsidRPr="00287709" w:rsidRDefault="00287709" w:rsidP="00287709">
      <w:pPr>
        <w:widowControl/>
        <w:spacing w:before="150" w:line="390" w:lineRule="atLeast"/>
        <w:ind w:firstLine="480"/>
        <w:jc w:val="left"/>
        <w:rPr>
          <w:rFonts w:ascii="微软雅黑" w:eastAsia="微软雅黑" w:hAnsi="微软雅黑" w:cs="宋体" w:hint="eastAsia"/>
          <w:color w:val="737373"/>
          <w:kern w:val="0"/>
          <w:szCs w:val="21"/>
        </w:rPr>
      </w:pPr>
      <w:r w:rsidRPr="00287709">
        <w:rPr>
          <w:rFonts w:ascii="微软雅黑" w:eastAsia="微软雅黑" w:hAnsi="微软雅黑" w:cs="宋体" w:hint="eastAsia"/>
          <w:color w:val="737373"/>
          <w:kern w:val="0"/>
          <w:szCs w:val="21"/>
        </w:rPr>
        <w:t>在</w:t>
      </w:r>
      <w:proofErr w:type="gramStart"/>
      <w:r w:rsidRPr="00287709">
        <w:rPr>
          <w:rFonts w:ascii="微软雅黑" w:eastAsia="微软雅黑" w:hAnsi="微软雅黑" w:cs="宋体" w:hint="eastAsia"/>
          <w:color w:val="737373"/>
          <w:kern w:val="0"/>
          <w:szCs w:val="21"/>
        </w:rPr>
        <w:t>您此次</w:t>
      </w:r>
      <w:proofErr w:type="gramEnd"/>
      <w:r w:rsidRPr="00287709">
        <w:rPr>
          <w:rFonts w:ascii="微软雅黑" w:eastAsia="微软雅黑" w:hAnsi="微软雅黑" w:cs="宋体" w:hint="eastAsia"/>
          <w:color w:val="737373"/>
          <w:kern w:val="0"/>
          <w:szCs w:val="21"/>
        </w:rPr>
        <w:t>认购“外贸信托-鹏华基金债券增强9期集合资金信托计划”（以下简称“本信托计划”）前，请对本信托计划的以下内容进行确认：</w:t>
      </w:r>
    </w:p>
    <w:p w:rsidR="00287709" w:rsidRPr="00287709" w:rsidRDefault="00287709" w:rsidP="00287709">
      <w:pPr>
        <w:widowControl/>
        <w:spacing w:before="150" w:line="390" w:lineRule="atLeast"/>
        <w:ind w:firstLine="480"/>
        <w:jc w:val="left"/>
        <w:rPr>
          <w:rFonts w:ascii="微软雅黑" w:eastAsia="微软雅黑" w:hAnsi="微软雅黑" w:cs="宋体" w:hint="eastAsia"/>
          <w:color w:val="737373"/>
          <w:kern w:val="0"/>
          <w:szCs w:val="21"/>
        </w:rPr>
      </w:pPr>
      <w:r w:rsidRPr="00287709">
        <w:rPr>
          <w:rFonts w:ascii="微软雅黑" w:eastAsia="微软雅黑" w:hAnsi="微软雅黑" w:cs="宋体" w:hint="eastAsia"/>
          <w:color w:val="737373"/>
          <w:kern w:val="0"/>
          <w:szCs w:val="21"/>
        </w:rPr>
        <w:t> </w:t>
      </w:r>
    </w:p>
    <w:tbl>
      <w:tblPr>
        <w:tblW w:w="8415" w:type="dxa"/>
        <w:tblCellMar>
          <w:left w:w="0" w:type="dxa"/>
          <w:right w:w="0" w:type="dxa"/>
        </w:tblCellMar>
        <w:tblLook w:val="04A0" w:firstRow="1" w:lastRow="0" w:firstColumn="1" w:lastColumn="0" w:noHBand="0" w:noVBand="1"/>
      </w:tblPr>
      <w:tblGrid>
        <w:gridCol w:w="2032"/>
        <w:gridCol w:w="6383"/>
      </w:tblGrid>
      <w:tr w:rsidR="00287709" w:rsidRPr="00287709" w:rsidTr="00287709">
        <w:trPr>
          <w:trHeight w:val="195"/>
        </w:trPr>
        <w:tc>
          <w:tcPr>
            <w:tcW w:w="8415" w:type="dxa"/>
            <w:gridSpan w:val="2"/>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hideMark/>
          </w:tcPr>
          <w:p w:rsidR="00287709" w:rsidRPr="00287709" w:rsidRDefault="00287709" w:rsidP="00287709">
            <w:pPr>
              <w:widowControl/>
              <w:spacing w:line="390" w:lineRule="atLeast"/>
              <w:ind w:firstLine="480"/>
              <w:jc w:val="center"/>
              <w:rPr>
                <w:rFonts w:ascii="宋体" w:eastAsia="宋体" w:hAnsi="宋体" w:cs="宋体"/>
                <w:color w:val="737373"/>
                <w:kern w:val="0"/>
                <w:szCs w:val="21"/>
              </w:rPr>
            </w:pPr>
            <w:r w:rsidRPr="00287709">
              <w:rPr>
                <w:rFonts w:ascii="宋体" w:eastAsia="宋体" w:hAnsi="宋体" w:cs="宋体"/>
                <w:b/>
                <w:bCs/>
                <w:color w:val="737373"/>
                <w:kern w:val="0"/>
                <w:szCs w:val="21"/>
              </w:rPr>
              <w:t>项目要素</w:t>
            </w:r>
          </w:p>
        </w:tc>
      </w:tr>
      <w:tr w:rsidR="00287709" w:rsidRPr="00287709" w:rsidTr="00287709">
        <w:trPr>
          <w:trHeight w:val="195"/>
        </w:trPr>
        <w:tc>
          <w:tcPr>
            <w:tcW w:w="1860" w:type="dxa"/>
            <w:tcBorders>
              <w:top w:val="nil"/>
              <w:left w:val="single" w:sz="6" w:space="0" w:color="auto"/>
              <w:bottom w:val="single" w:sz="6" w:space="0" w:color="auto"/>
              <w:right w:val="single" w:sz="6" w:space="0" w:color="auto"/>
            </w:tcBorders>
            <w:tcMar>
              <w:top w:w="0" w:type="dxa"/>
              <w:left w:w="105" w:type="dxa"/>
              <w:bottom w:w="0" w:type="dxa"/>
              <w:right w:w="105" w:type="dxa"/>
            </w:tcMar>
            <w:hideMark/>
          </w:tcPr>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产品名称</w:t>
            </w:r>
          </w:p>
        </w:tc>
        <w:tc>
          <w:tcPr>
            <w:tcW w:w="6555" w:type="dxa"/>
            <w:tcBorders>
              <w:top w:val="single" w:sz="6" w:space="0" w:color="auto"/>
              <w:left w:val="nil"/>
              <w:bottom w:val="single" w:sz="6" w:space="0" w:color="auto"/>
              <w:right w:val="single" w:sz="6" w:space="0" w:color="auto"/>
            </w:tcBorders>
            <w:tcMar>
              <w:top w:w="0" w:type="dxa"/>
              <w:left w:w="105" w:type="dxa"/>
              <w:bottom w:w="0" w:type="dxa"/>
              <w:right w:w="105" w:type="dxa"/>
            </w:tcMar>
            <w:hideMark/>
          </w:tcPr>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外贸信托-鹏华基金债券增强9期集合资金信托计划</w:t>
            </w:r>
          </w:p>
        </w:tc>
      </w:tr>
      <w:tr w:rsidR="00287709" w:rsidRPr="00287709" w:rsidTr="00287709">
        <w:trPr>
          <w:trHeight w:val="195"/>
        </w:trPr>
        <w:tc>
          <w:tcPr>
            <w:tcW w:w="1860" w:type="dxa"/>
            <w:tcBorders>
              <w:top w:val="nil"/>
              <w:left w:val="single" w:sz="6" w:space="0" w:color="auto"/>
              <w:bottom w:val="single" w:sz="6" w:space="0" w:color="auto"/>
              <w:right w:val="single" w:sz="6" w:space="0" w:color="auto"/>
            </w:tcBorders>
            <w:tcMar>
              <w:top w:w="0" w:type="dxa"/>
              <w:left w:w="105" w:type="dxa"/>
              <w:bottom w:w="0" w:type="dxa"/>
              <w:right w:w="105" w:type="dxa"/>
            </w:tcMar>
            <w:hideMark/>
          </w:tcPr>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产品代码</w:t>
            </w:r>
          </w:p>
        </w:tc>
        <w:tc>
          <w:tcPr>
            <w:tcW w:w="6555" w:type="dxa"/>
            <w:tcBorders>
              <w:top w:val="nil"/>
              <w:left w:val="nil"/>
              <w:bottom w:val="single" w:sz="6" w:space="0" w:color="auto"/>
              <w:right w:val="single" w:sz="6" w:space="0" w:color="auto"/>
            </w:tcBorders>
            <w:tcMar>
              <w:top w:w="0" w:type="dxa"/>
              <w:left w:w="105" w:type="dxa"/>
              <w:bottom w:w="0" w:type="dxa"/>
              <w:right w:w="105" w:type="dxa"/>
            </w:tcMar>
            <w:hideMark/>
          </w:tcPr>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【PA001J】</w:t>
            </w:r>
          </w:p>
        </w:tc>
      </w:tr>
      <w:tr w:rsidR="00287709" w:rsidRPr="00287709" w:rsidTr="00287709">
        <w:trPr>
          <w:trHeight w:val="195"/>
        </w:trPr>
        <w:tc>
          <w:tcPr>
            <w:tcW w:w="1860" w:type="dxa"/>
            <w:tcBorders>
              <w:top w:val="nil"/>
              <w:left w:val="single" w:sz="6" w:space="0" w:color="auto"/>
              <w:bottom w:val="single" w:sz="6" w:space="0" w:color="auto"/>
              <w:right w:val="single" w:sz="6" w:space="0" w:color="auto"/>
            </w:tcBorders>
            <w:tcMar>
              <w:top w:w="0" w:type="dxa"/>
              <w:left w:w="105" w:type="dxa"/>
              <w:bottom w:w="0" w:type="dxa"/>
              <w:right w:w="105" w:type="dxa"/>
            </w:tcMar>
            <w:hideMark/>
          </w:tcPr>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认购起点金额</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 </w:t>
            </w:r>
          </w:p>
        </w:tc>
        <w:tc>
          <w:tcPr>
            <w:tcW w:w="6555" w:type="dxa"/>
            <w:tcBorders>
              <w:top w:val="nil"/>
              <w:left w:val="nil"/>
              <w:bottom w:val="single" w:sz="6" w:space="0" w:color="auto"/>
              <w:right w:val="single" w:sz="6" w:space="0" w:color="auto"/>
            </w:tcBorders>
            <w:tcMar>
              <w:top w:w="0" w:type="dxa"/>
              <w:left w:w="105" w:type="dxa"/>
              <w:bottom w:w="0" w:type="dxa"/>
              <w:right w:w="105" w:type="dxa"/>
            </w:tcMar>
            <w:hideMark/>
          </w:tcPr>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委托人认购的信托资金应不低于人民币30万元，超过部分按人民币1万元的整数倍增加。</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 </w:t>
            </w:r>
          </w:p>
        </w:tc>
      </w:tr>
      <w:tr w:rsidR="00287709" w:rsidRPr="00287709" w:rsidTr="00287709">
        <w:trPr>
          <w:trHeight w:val="195"/>
        </w:trPr>
        <w:tc>
          <w:tcPr>
            <w:tcW w:w="1860" w:type="dxa"/>
            <w:tcBorders>
              <w:top w:val="nil"/>
              <w:left w:val="single" w:sz="6" w:space="0" w:color="auto"/>
              <w:bottom w:val="single" w:sz="6" w:space="0" w:color="auto"/>
              <w:right w:val="single" w:sz="6" w:space="0" w:color="auto"/>
            </w:tcBorders>
            <w:tcMar>
              <w:top w:w="0" w:type="dxa"/>
              <w:left w:w="105" w:type="dxa"/>
              <w:bottom w:w="0" w:type="dxa"/>
              <w:right w:w="105" w:type="dxa"/>
            </w:tcMar>
            <w:hideMark/>
          </w:tcPr>
          <w:p w:rsidR="00287709" w:rsidRPr="00287709" w:rsidRDefault="00287709" w:rsidP="00287709">
            <w:pPr>
              <w:widowControl/>
              <w:spacing w:before="150" w:line="390" w:lineRule="atLeast"/>
              <w:jc w:val="left"/>
              <w:rPr>
                <w:rFonts w:ascii="宋体" w:eastAsia="宋体" w:hAnsi="宋体" w:cs="宋体"/>
                <w:color w:val="737373"/>
                <w:kern w:val="0"/>
                <w:szCs w:val="21"/>
              </w:rPr>
            </w:pPr>
            <w:r w:rsidRPr="00287709">
              <w:rPr>
                <w:rFonts w:ascii="宋体" w:eastAsia="宋体" w:hAnsi="宋体" w:cs="宋体"/>
                <w:color w:val="737373"/>
                <w:kern w:val="0"/>
                <w:szCs w:val="21"/>
              </w:rPr>
              <w:t> </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业绩比较基准及</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委托人收益</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 </w:t>
            </w:r>
          </w:p>
        </w:tc>
        <w:tc>
          <w:tcPr>
            <w:tcW w:w="6555" w:type="dxa"/>
            <w:tcBorders>
              <w:top w:val="nil"/>
              <w:left w:val="nil"/>
              <w:bottom w:val="single" w:sz="6" w:space="0" w:color="auto"/>
              <w:right w:val="single" w:sz="6" w:space="0" w:color="auto"/>
            </w:tcBorders>
            <w:tcMar>
              <w:top w:w="0" w:type="dxa"/>
              <w:left w:w="105" w:type="dxa"/>
              <w:bottom w:w="0" w:type="dxa"/>
              <w:right w:w="105" w:type="dxa"/>
            </w:tcMar>
            <w:hideMark/>
          </w:tcPr>
          <w:p w:rsidR="00287709" w:rsidRPr="00287709" w:rsidRDefault="00287709" w:rsidP="00287709">
            <w:pPr>
              <w:widowControl/>
              <w:spacing w:before="150" w:line="390" w:lineRule="atLeast"/>
              <w:jc w:val="left"/>
              <w:rPr>
                <w:rFonts w:ascii="宋体" w:eastAsia="宋体" w:hAnsi="宋体" w:cs="宋体"/>
                <w:color w:val="737373"/>
                <w:kern w:val="0"/>
                <w:szCs w:val="21"/>
              </w:rPr>
            </w:pPr>
            <w:r w:rsidRPr="00287709">
              <w:rPr>
                <w:rFonts w:ascii="宋体" w:eastAsia="宋体" w:hAnsi="宋体" w:cs="宋体"/>
                <w:color w:val="737373"/>
                <w:kern w:val="0"/>
                <w:szCs w:val="21"/>
              </w:rPr>
              <w:t> </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本信托计划业绩比较基准Si为【4.35%】/年</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虽然本信托计划设有业绩比较基准，但业绩比较基准并不是受托人向委托人保证其委托财产本金不受损失或者保证其取得最低收益的承诺。投资有风险，本计划终止时，若计划剩余财产低于初始投资金额，委托人可能会面临损失本金的风险。</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受托人根据委托人意愿，在管理、运用及处分信托财产过程中产生的各项税费（包括但不限于增值税及附加、印花税等），由信托财产承担，由受托人缴纳。在本信托计划存续期间及本信托计划终止后的任一时点，因税收政策调整或税务机关认定而向受托人追缴上述税费及相关款项的，受托人有权直接以信托财产支付，信托财产不足支付的，受托人有权向受益人追缴。</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若委托人于开放日赎回信托计划份额时，委托人取得的一般</w:t>
            </w:r>
            <w:proofErr w:type="gramStart"/>
            <w:r w:rsidRPr="00287709">
              <w:rPr>
                <w:rFonts w:ascii="宋体" w:eastAsia="宋体" w:hAnsi="宋体" w:cs="宋体"/>
                <w:color w:val="737373"/>
                <w:kern w:val="0"/>
                <w:szCs w:val="21"/>
              </w:rPr>
              <w:t>信托利益</w:t>
            </w:r>
            <w:proofErr w:type="gramEnd"/>
            <w:r w:rsidRPr="00287709">
              <w:rPr>
                <w:rFonts w:ascii="宋体" w:eastAsia="宋体" w:hAnsi="宋体" w:cs="宋体"/>
                <w:color w:val="737373"/>
                <w:kern w:val="0"/>
                <w:szCs w:val="21"/>
              </w:rPr>
              <w:t>的计算方式为：</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proofErr w:type="gramStart"/>
            <w:r w:rsidRPr="00287709">
              <w:rPr>
                <w:rFonts w:ascii="宋体" w:eastAsia="宋体" w:hAnsi="宋体" w:cs="宋体"/>
                <w:color w:val="737373"/>
                <w:kern w:val="0"/>
                <w:szCs w:val="21"/>
              </w:rPr>
              <w:t>设本信托</w:t>
            </w:r>
            <w:proofErr w:type="gramEnd"/>
            <w:r w:rsidRPr="00287709">
              <w:rPr>
                <w:rFonts w:ascii="宋体" w:eastAsia="宋体" w:hAnsi="宋体" w:cs="宋体"/>
                <w:color w:val="737373"/>
                <w:kern w:val="0"/>
                <w:szCs w:val="21"/>
              </w:rPr>
              <w:t>计划开放日委托人该笔退出份额所取得的扣除浮动管</w:t>
            </w:r>
            <w:r w:rsidRPr="00287709">
              <w:rPr>
                <w:rFonts w:ascii="宋体" w:eastAsia="宋体" w:hAnsi="宋体" w:cs="宋体"/>
                <w:color w:val="737373"/>
                <w:kern w:val="0"/>
                <w:szCs w:val="21"/>
              </w:rPr>
              <w:lastRenderedPageBreak/>
              <w:t>理费前</w:t>
            </w:r>
            <w:proofErr w:type="gramStart"/>
            <w:r w:rsidRPr="00287709">
              <w:rPr>
                <w:rFonts w:ascii="宋体" w:eastAsia="宋体" w:hAnsi="宋体" w:cs="宋体"/>
                <w:color w:val="737373"/>
                <w:kern w:val="0"/>
                <w:szCs w:val="21"/>
              </w:rPr>
              <w:t>的年化收益率</w:t>
            </w:r>
            <w:proofErr w:type="gramEnd"/>
            <w:r w:rsidRPr="00287709">
              <w:rPr>
                <w:rFonts w:ascii="宋体" w:eastAsia="宋体" w:hAnsi="宋体" w:cs="宋体"/>
                <w:color w:val="737373"/>
                <w:kern w:val="0"/>
                <w:szCs w:val="21"/>
              </w:rPr>
              <w:t>为Wi,</w:t>
            </w:r>
          </w:p>
          <w:p w:rsidR="00287709" w:rsidRPr="00287709" w:rsidRDefault="00287709" w:rsidP="00287709">
            <w:pPr>
              <w:widowControl/>
              <w:spacing w:before="150" w:line="390" w:lineRule="atLeast"/>
              <w:jc w:val="center"/>
              <w:rPr>
                <w:rFonts w:ascii="宋体" w:eastAsia="宋体" w:hAnsi="宋体" w:cs="宋体"/>
                <w:color w:val="737373"/>
                <w:kern w:val="0"/>
                <w:szCs w:val="21"/>
              </w:rPr>
            </w:pPr>
            <w:r>
              <w:rPr>
                <w:rFonts w:ascii="宋体" w:eastAsia="宋体" w:hAnsi="宋体" w:cs="宋体"/>
                <w:noProof/>
                <w:color w:val="737373"/>
                <w:kern w:val="0"/>
                <w:szCs w:val="21"/>
              </w:rPr>
              <w:drawing>
                <wp:inline distT="0" distB="0" distL="0" distR="0">
                  <wp:extent cx="1397000" cy="361950"/>
                  <wp:effectExtent l="0" t="0" r="0" b="0"/>
                  <wp:docPr id="5" name="图片 5" descr="http://www.fotic.com.cn/Portals/59/BatchImagesThumb/2019/0926/6370511950436298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fotic.com.cn/Portals/59/BatchImagesThumb/2019/0926/637051195043629817.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97000" cy="361950"/>
                          </a:xfrm>
                          <a:prstGeom prst="rect">
                            <a:avLst/>
                          </a:prstGeom>
                          <a:noFill/>
                          <a:ln>
                            <a:noFill/>
                          </a:ln>
                        </pic:spPr>
                      </pic:pic>
                    </a:graphicData>
                  </a:graphic>
                </wp:inline>
              </w:drawing>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其中，</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Y= 委托人该笔退出份额于本信托计划开放日扣除浮动管理费前的当日信托单位净值</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X=委托人该笔退出份额对应的认购/申购信托财产当日信托单位净值，如为成立日进入，则X=1.0000元/份</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T=委托人该笔退出份额存续天数</w:t>
            </w:r>
          </w:p>
          <w:p w:rsidR="00287709" w:rsidRPr="00287709" w:rsidRDefault="00287709" w:rsidP="00287709">
            <w:pPr>
              <w:widowControl/>
              <w:spacing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若</w:t>
            </w:r>
            <w:r>
              <w:rPr>
                <w:rFonts w:ascii="宋体" w:eastAsia="宋体" w:hAnsi="宋体" w:cs="宋体"/>
                <w:noProof/>
                <w:color w:val="737373"/>
                <w:kern w:val="0"/>
                <w:szCs w:val="21"/>
              </w:rPr>
              <w:drawing>
                <wp:inline distT="0" distB="0" distL="0" distR="0">
                  <wp:extent cx="457200" cy="190500"/>
                  <wp:effectExtent l="0" t="0" r="0" b="0"/>
                  <wp:docPr id="4" name="图片 4" descr="http://www.fotic.com.cn/Portals/59/BatchImagesThumb/2019/0926/6370511952616154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fotic.com.cn/Portals/59/BatchImagesThumb/2019/0926/63705119526161544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 cy="190500"/>
                          </a:xfrm>
                          <a:prstGeom prst="rect">
                            <a:avLst/>
                          </a:prstGeom>
                          <a:noFill/>
                          <a:ln>
                            <a:noFill/>
                          </a:ln>
                        </pic:spPr>
                      </pic:pic>
                    </a:graphicData>
                  </a:graphic>
                </wp:inline>
              </w:drawing>
            </w:r>
            <w:r w:rsidRPr="00287709">
              <w:rPr>
                <w:rFonts w:ascii="宋体" w:eastAsia="宋体" w:hAnsi="宋体" w:cs="宋体"/>
                <w:color w:val="737373"/>
                <w:kern w:val="0"/>
                <w:szCs w:val="21"/>
              </w:rPr>
              <w:t>，则委托人该笔退出份额的一般信托利益</w:t>
            </w:r>
          </w:p>
          <w:p w:rsidR="00287709" w:rsidRPr="00287709" w:rsidRDefault="00287709" w:rsidP="00287709">
            <w:pPr>
              <w:widowControl/>
              <w:spacing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若</w:t>
            </w:r>
            <w:r>
              <w:rPr>
                <w:rFonts w:ascii="宋体" w:eastAsia="宋体" w:hAnsi="宋体" w:cs="宋体"/>
                <w:noProof/>
                <w:color w:val="737373"/>
                <w:kern w:val="0"/>
                <w:szCs w:val="21"/>
              </w:rPr>
              <w:drawing>
                <wp:inline distT="0" distB="0" distL="0" distR="0">
                  <wp:extent cx="495300" cy="203200"/>
                  <wp:effectExtent l="0" t="0" r="0" b="6350"/>
                  <wp:docPr id="3" name="图片 3" descr="http://www.fotic.com.cn/Portals/59/BatchImagesThumb/2019/0926/6370511955316363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fotic.com.cn/Portals/59/BatchImagesThumb/2019/0926/637051195531636339.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5300" cy="203200"/>
                          </a:xfrm>
                          <a:prstGeom prst="rect">
                            <a:avLst/>
                          </a:prstGeom>
                          <a:noFill/>
                          <a:ln>
                            <a:noFill/>
                          </a:ln>
                        </pic:spPr>
                      </pic:pic>
                    </a:graphicData>
                  </a:graphic>
                </wp:inline>
              </w:drawing>
            </w:r>
            <w:r w:rsidRPr="00287709">
              <w:rPr>
                <w:rFonts w:ascii="宋体" w:eastAsia="宋体" w:hAnsi="宋体" w:cs="宋体"/>
                <w:color w:val="737373"/>
                <w:kern w:val="0"/>
                <w:szCs w:val="21"/>
              </w:rPr>
              <w:t>，则委托人该笔退出份额的一般</w:t>
            </w:r>
            <w:proofErr w:type="gramStart"/>
            <w:r w:rsidRPr="00287709">
              <w:rPr>
                <w:rFonts w:ascii="宋体" w:eastAsia="宋体" w:hAnsi="宋体" w:cs="宋体"/>
                <w:color w:val="737373"/>
                <w:kern w:val="0"/>
                <w:szCs w:val="21"/>
              </w:rPr>
              <w:t>信托利益</w:t>
            </w:r>
            <w:proofErr w:type="gramEnd"/>
            <w:r w:rsidRPr="00287709">
              <w:rPr>
                <w:rFonts w:ascii="宋体" w:eastAsia="宋体" w:hAnsi="宋体" w:cs="宋体"/>
                <w:color w:val="737373"/>
                <w:kern w:val="0"/>
                <w:szCs w:val="21"/>
              </w:rPr>
              <w:t>=</w:t>
            </w:r>
            <w:r>
              <w:rPr>
                <w:rFonts w:ascii="宋体" w:eastAsia="宋体" w:hAnsi="宋体" w:cs="宋体"/>
                <w:noProof/>
                <w:color w:val="737373"/>
                <w:kern w:val="0"/>
                <w:szCs w:val="21"/>
              </w:rPr>
              <w:drawing>
                <wp:inline distT="0" distB="0" distL="0" distR="0">
                  <wp:extent cx="514350" cy="228600"/>
                  <wp:effectExtent l="0" t="0" r="0" b="0"/>
                  <wp:docPr id="2" name="图片 2" descr="http://www.fotic.com.cn/Portals/59/BatchImagesThumb/2019/0926/6370511958418165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fotic.com.cn/Portals/59/BatchImagesThumb/2019/0926/637051195841816599.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4350" cy="228600"/>
                          </a:xfrm>
                          <a:prstGeom prst="rect">
                            <a:avLst/>
                          </a:prstGeom>
                          <a:noFill/>
                          <a:ln>
                            <a:noFill/>
                          </a:ln>
                        </pic:spPr>
                      </pic:pic>
                    </a:graphicData>
                  </a:graphic>
                </wp:inline>
              </w:drawing>
            </w:r>
          </w:p>
          <w:p w:rsidR="00287709" w:rsidRPr="00287709" w:rsidRDefault="00287709" w:rsidP="00287709">
            <w:pPr>
              <w:widowControl/>
              <w:spacing w:before="150" w:line="390" w:lineRule="atLeast"/>
              <w:jc w:val="left"/>
              <w:rPr>
                <w:rFonts w:ascii="宋体" w:eastAsia="宋体" w:hAnsi="宋体" w:cs="宋体"/>
                <w:color w:val="737373"/>
                <w:kern w:val="0"/>
                <w:szCs w:val="21"/>
              </w:rPr>
            </w:pPr>
            <w:r>
              <w:rPr>
                <w:rFonts w:ascii="宋体" w:eastAsia="宋体" w:hAnsi="宋体" w:cs="宋体"/>
                <w:noProof/>
                <w:color w:val="737373"/>
                <w:kern w:val="0"/>
                <w:szCs w:val="21"/>
              </w:rPr>
              <w:drawing>
                <wp:inline distT="0" distB="0" distL="0" distR="0">
                  <wp:extent cx="3848100" cy="368300"/>
                  <wp:effectExtent l="0" t="0" r="0" b="0"/>
                  <wp:docPr id="1" name="图片 1" descr="http://www.fotic.com.cn/Portals/59/BatchImagesThumb/2019/0926/6370511956907111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fotic.com.cn/Portals/59/BatchImagesThumb/2019/0926/637051195690711156.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48100" cy="368300"/>
                          </a:xfrm>
                          <a:prstGeom prst="rect">
                            <a:avLst/>
                          </a:prstGeom>
                          <a:noFill/>
                          <a:ln>
                            <a:noFill/>
                          </a:ln>
                        </pic:spPr>
                      </pic:pic>
                    </a:graphicData>
                  </a:graphic>
                </wp:inline>
              </w:drawing>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 </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N=本信托计划委托人该笔退出份额数</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本信托计划终止时的具体分配方式详见信托合同第二十二条</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 </w:t>
            </w:r>
          </w:p>
        </w:tc>
      </w:tr>
      <w:tr w:rsidR="00287709" w:rsidRPr="00287709" w:rsidTr="00287709">
        <w:trPr>
          <w:trHeight w:val="195"/>
        </w:trPr>
        <w:tc>
          <w:tcPr>
            <w:tcW w:w="4500" w:type="dxa"/>
            <w:tcBorders>
              <w:top w:val="nil"/>
              <w:left w:val="single" w:sz="6" w:space="0" w:color="auto"/>
              <w:bottom w:val="single" w:sz="6" w:space="0" w:color="auto"/>
              <w:right w:val="single" w:sz="6" w:space="0" w:color="auto"/>
            </w:tcBorders>
            <w:tcMar>
              <w:top w:w="0" w:type="dxa"/>
              <w:left w:w="105" w:type="dxa"/>
              <w:bottom w:w="0" w:type="dxa"/>
              <w:right w:w="105" w:type="dxa"/>
            </w:tcMar>
            <w:hideMark/>
          </w:tcPr>
          <w:p w:rsidR="00287709" w:rsidRPr="00287709" w:rsidRDefault="00287709" w:rsidP="00287709">
            <w:pPr>
              <w:widowControl/>
              <w:spacing w:before="150" w:line="390" w:lineRule="atLeast"/>
              <w:jc w:val="left"/>
              <w:rPr>
                <w:rFonts w:ascii="宋体" w:eastAsia="宋体" w:hAnsi="宋体" w:cs="宋体"/>
                <w:color w:val="737373"/>
                <w:kern w:val="0"/>
                <w:szCs w:val="21"/>
              </w:rPr>
            </w:pPr>
            <w:r w:rsidRPr="00287709">
              <w:rPr>
                <w:rFonts w:ascii="宋体" w:eastAsia="宋体" w:hAnsi="宋体" w:cs="宋体"/>
                <w:color w:val="737373"/>
                <w:kern w:val="0"/>
                <w:szCs w:val="21"/>
              </w:rPr>
              <w:lastRenderedPageBreak/>
              <w:t> </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固定代理销售费率</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 </w:t>
            </w:r>
          </w:p>
        </w:tc>
        <w:tc>
          <w:tcPr>
            <w:tcW w:w="6555" w:type="dxa"/>
            <w:tcBorders>
              <w:top w:val="nil"/>
              <w:left w:val="nil"/>
              <w:bottom w:val="single" w:sz="6" w:space="0" w:color="auto"/>
              <w:right w:val="single" w:sz="6" w:space="0" w:color="auto"/>
            </w:tcBorders>
            <w:tcMar>
              <w:top w:w="0" w:type="dxa"/>
              <w:left w:w="105" w:type="dxa"/>
              <w:bottom w:w="0" w:type="dxa"/>
              <w:right w:w="105" w:type="dxa"/>
            </w:tcMar>
            <w:hideMark/>
          </w:tcPr>
          <w:p w:rsidR="00287709" w:rsidRPr="00287709" w:rsidRDefault="00287709" w:rsidP="00287709">
            <w:pPr>
              <w:widowControl/>
              <w:spacing w:before="150" w:line="390" w:lineRule="atLeast"/>
              <w:jc w:val="left"/>
              <w:rPr>
                <w:rFonts w:ascii="宋体" w:eastAsia="宋体" w:hAnsi="宋体" w:cs="宋体"/>
                <w:color w:val="737373"/>
                <w:kern w:val="0"/>
                <w:szCs w:val="21"/>
              </w:rPr>
            </w:pPr>
            <w:r w:rsidRPr="00287709">
              <w:rPr>
                <w:rFonts w:ascii="宋体" w:eastAsia="宋体" w:hAnsi="宋体" w:cs="宋体"/>
                <w:color w:val="737373"/>
                <w:kern w:val="0"/>
                <w:szCs w:val="21"/>
              </w:rPr>
              <w:t> </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本信托计划固定代理销售费率为Di=【0.3】%</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 </w:t>
            </w:r>
          </w:p>
        </w:tc>
      </w:tr>
      <w:tr w:rsidR="00287709" w:rsidRPr="00287709" w:rsidTr="00287709">
        <w:trPr>
          <w:trHeight w:val="195"/>
        </w:trPr>
        <w:tc>
          <w:tcPr>
            <w:tcW w:w="1860" w:type="dxa"/>
            <w:tcBorders>
              <w:top w:val="nil"/>
              <w:left w:val="single" w:sz="6" w:space="0" w:color="auto"/>
              <w:bottom w:val="single" w:sz="6" w:space="0" w:color="auto"/>
              <w:right w:val="single" w:sz="6" w:space="0" w:color="auto"/>
            </w:tcBorders>
            <w:tcMar>
              <w:top w:w="0" w:type="dxa"/>
              <w:left w:w="105" w:type="dxa"/>
              <w:bottom w:w="0" w:type="dxa"/>
              <w:right w:w="105" w:type="dxa"/>
            </w:tcMar>
            <w:hideMark/>
          </w:tcPr>
          <w:p w:rsidR="00287709" w:rsidRPr="00287709" w:rsidRDefault="00287709" w:rsidP="00287709">
            <w:pPr>
              <w:widowControl/>
              <w:spacing w:before="150" w:line="390" w:lineRule="atLeast"/>
              <w:jc w:val="left"/>
              <w:rPr>
                <w:rFonts w:ascii="宋体" w:eastAsia="宋体" w:hAnsi="宋体" w:cs="宋体"/>
                <w:color w:val="737373"/>
                <w:kern w:val="0"/>
                <w:szCs w:val="21"/>
              </w:rPr>
            </w:pPr>
            <w:r w:rsidRPr="00287709">
              <w:rPr>
                <w:rFonts w:ascii="宋体" w:eastAsia="宋体" w:hAnsi="宋体" w:cs="宋体"/>
                <w:color w:val="737373"/>
                <w:kern w:val="0"/>
                <w:szCs w:val="21"/>
              </w:rPr>
              <w:t> </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浮动管理费</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计提比例</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 </w:t>
            </w:r>
          </w:p>
        </w:tc>
        <w:tc>
          <w:tcPr>
            <w:tcW w:w="6555" w:type="dxa"/>
            <w:tcBorders>
              <w:top w:val="nil"/>
              <w:left w:val="nil"/>
              <w:bottom w:val="single" w:sz="6" w:space="0" w:color="auto"/>
              <w:right w:val="single" w:sz="6" w:space="0" w:color="auto"/>
            </w:tcBorders>
            <w:tcMar>
              <w:top w:w="0" w:type="dxa"/>
              <w:left w:w="105" w:type="dxa"/>
              <w:bottom w:w="0" w:type="dxa"/>
              <w:right w:w="105" w:type="dxa"/>
            </w:tcMar>
            <w:hideMark/>
          </w:tcPr>
          <w:p w:rsidR="00287709" w:rsidRPr="00287709" w:rsidRDefault="00287709" w:rsidP="00287709">
            <w:pPr>
              <w:widowControl/>
              <w:spacing w:before="150" w:line="390" w:lineRule="atLeast"/>
              <w:jc w:val="left"/>
              <w:rPr>
                <w:rFonts w:ascii="宋体" w:eastAsia="宋体" w:hAnsi="宋体" w:cs="宋体"/>
                <w:color w:val="737373"/>
                <w:kern w:val="0"/>
                <w:szCs w:val="21"/>
              </w:rPr>
            </w:pPr>
            <w:r w:rsidRPr="00287709">
              <w:rPr>
                <w:rFonts w:ascii="宋体" w:eastAsia="宋体" w:hAnsi="宋体" w:cs="宋体"/>
                <w:color w:val="737373"/>
                <w:kern w:val="0"/>
                <w:szCs w:val="21"/>
              </w:rPr>
              <w:t> </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浮动管理费的计提比例为P=【40】%</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浮动管理费包含浮动代理销售费和浮动投资顾问费。</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其中，</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浮动代理销售费占浮动管理费的比例P1为【40】%，</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浮动投资顾问费为浮动管理费扣除浮动代理销售费后的部分。</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lastRenderedPageBreak/>
              <w:t> </w:t>
            </w:r>
          </w:p>
        </w:tc>
      </w:tr>
      <w:tr w:rsidR="00287709" w:rsidRPr="00287709" w:rsidTr="00287709">
        <w:trPr>
          <w:trHeight w:val="195"/>
        </w:trPr>
        <w:tc>
          <w:tcPr>
            <w:tcW w:w="1860" w:type="dxa"/>
            <w:tcBorders>
              <w:top w:val="nil"/>
              <w:left w:val="single" w:sz="6" w:space="0" w:color="auto"/>
              <w:bottom w:val="single" w:sz="6" w:space="0" w:color="auto"/>
              <w:right w:val="single" w:sz="6" w:space="0" w:color="auto"/>
            </w:tcBorders>
            <w:tcMar>
              <w:top w:w="0" w:type="dxa"/>
              <w:left w:w="105" w:type="dxa"/>
              <w:bottom w:w="0" w:type="dxa"/>
              <w:right w:w="105" w:type="dxa"/>
            </w:tcMar>
            <w:hideMark/>
          </w:tcPr>
          <w:p w:rsidR="00287709" w:rsidRPr="00287709" w:rsidRDefault="00287709" w:rsidP="00287709">
            <w:pPr>
              <w:widowControl/>
              <w:spacing w:before="150" w:line="390" w:lineRule="atLeast"/>
              <w:jc w:val="left"/>
              <w:rPr>
                <w:rFonts w:ascii="宋体" w:eastAsia="宋体" w:hAnsi="宋体" w:cs="宋体"/>
                <w:color w:val="737373"/>
                <w:kern w:val="0"/>
                <w:szCs w:val="21"/>
              </w:rPr>
            </w:pPr>
            <w:r w:rsidRPr="00287709">
              <w:rPr>
                <w:rFonts w:ascii="宋体" w:eastAsia="宋体" w:hAnsi="宋体" w:cs="宋体"/>
                <w:color w:val="737373"/>
                <w:kern w:val="0"/>
                <w:szCs w:val="21"/>
              </w:rPr>
              <w:lastRenderedPageBreak/>
              <w:t> </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募集期</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 </w:t>
            </w:r>
          </w:p>
        </w:tc>
        <w:tc>
          <w:tcPr>
            <w:tcW w:w="6555" w:type="dxa"/>
            <w:tcBorders>
              <w:top w:val="nil"/>
              <w:left w:val="nil"/>
              <w:bottom w:val="single" w:sz="6" w:space="0" w:color="auto"/>
              <w:right w:val="single" w:sz="6" w:space="0" w:color="auto"/>
            </w:tcBorders>
            <w:tcMar>
              <w:top w:w="0" w:type="dxa"/>
              <w:left w:w="105" w:type="dxa"/>
              <w:bottom w:w="0" w:type="dxa"/>
              <w:right w:w="105" w:type="dxa"/>
            </w:tcMar>
            <w:hideMark/>
          </w:tcPr>
          <w:p w:rsidR="00287709" w:rsidRPr="00287709" w:rsidRDefault="00287709" w:rsidP="00287709">
            <w:pPr>
              <w:widowControl/>
              <w:spacing w:before="150" w:line="390" w:lineRule="atLeast"/>
              <w:jc w:val="left"/>
              <w:rPr>
                <w:rFonts w:ascii="宋体" w:eastAsia="宋体" w:hAnsi="宋体" w:cs="宋体"/>
                <w:color w:val="737373"/>
                <w:kern w:val="0"/>
                <w:szCs w:val="21"/>
              </w:rPr>
            </w:pPr>
            <w:r w:rsidRPr="00287709">
              <w:rPr>
                <w:rFonts w:ascii="宋体" w:eastAsia="宋体" w:hAnsi="宋体" w:cs="宋体"/>
                <w:color w:val="737373"/>
                <w:kern w:val="0"/>
                <w:szCs w:val="21"/>
              </w:rPr>
              <w:t> </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本信托计划募集期为【20191009-20191015】</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 </w:t>
            </w:r>
          </w:p>
        </w:tc>
      </w:tr>
      <w:tr w:rsidR="00287709" w:rsidRPr="00287709" w:rsidTr="00287709">
        <w:trPr>
          <w:trHeight w:val="195"/>
        </w:trPr>
        <w:tc>
          <w:tcPr>
            <w:tcW w:w="1860" w:type="dxa"/>
            <w:tcBorders>
              <w:top w:val="nil"/>
              <w:left w:val="single" w:sz="6" w:space="0" w:color="auto"/>
              <w:bottom w:val="single" w:sz="6" w:space="0" w:color="auto"/>
              <w:right w:val="single" w:sz="6" w:space="0" w:color="auto"/>
            </w:tcBorders>
            <w:tcMar>
              <w:top w:w="0" w:type="dxa"/>
              <w:left w:w="105" w:type="dxa"/>
              <w:bottom w:w="0" w:type="dxa"/>
              <w:right w:w="105" w:type="dxa"/>
            </w:tcMar>
            <w:hideMark/>
          </w:tcPr>
          <w:p w:rsidR="00287709" w:rsidRPr="00287709" w:rsidRDefault="00287709" w:rsidP="00287709">
            <w:pPr>
              <w:widowControl/>
              <w:spacing w:before="150" w:line="390" w:lineRule="atLeast"/>
              <w:jc w:val="left"/>
              <w:rPr>
                <w:rFonts w:ascii="宋体" w:eastAsia="宋体" w:hAnsi="宋体" w:cs="宋体"/>
                <w:color w:val="737373"/>
                <w:kern w:val="0"/>
                <w:szCs w:val="21"/>
              </w:rPr>
            </w:pPr>
            <w:r w:rsidRPr="00287709">
              <w:rPr>
                <w:rFonts w:ascii="宋体" w:eastAsia="宋体" w:hAnsi="宋体" w:cs="宋体"/>
                <w:color w:val="737373"/>
                <w:kern w:val="0"/>
                <w:szCs w:val="21"/>
              </w:rPr>
              <w:t> </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信托计划发行规模及人数</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 </w:t>
            </w:r>
          </w:p>
        </w:tc>
        <w:tc>
          <w:tcPr>
            <w:tcW w:w="6555" w:type="dxa"/>
            <w:tcBorders>
              <w:top w:val="nil"/>
              <w:left w:val="nil"/>
              <w:bottom w:val="single" w:sz="6" w:space="0" w:color="auto"/>
              <w:right w:val="single" w:sz="6" w:space="0" w:color="auto"/>
            </w:tcBorders>
            <w:tcMar>
              <w:top w:w="0" w:type="dxa"/>
              <w:left w:w="105" w:type="dxa"/>
              <w:bottom w:w="0" w:type="dxa"/>
              <w:right w:w="105" w:type="dxa"/>
            </w:tcMar>
            <w:hideMark/>
          </w:tcPr>
          <w:p w:rsidR="00287709" w:rsidRPr="00287709" w:rsidRDefault="00287709" w:rsidP="00287709">
            <w:pPr>
              <w:widowControl/>
              <w:spacing w:before="150" w:line="390" w:lineRule="atLeast"/>
              <w:jc w:val="left"/>
              <w:rPr>
                <w:rFonts w:ascii="宋体" w:eastAsia="宋体" w:hAnsi="宋体" w:cs="宋体"/>
                <w:color w:val="737373"/>
                <w:kern w:val="0"/>
                <w:szCs w:val="21"/>
              </w:rPr>
            </w:pPr>
            <w:r w:rsidRPr="00287709">
              <w:rPr>
                <w:rFonts w:ascii="宋体" w:eastAsia="宋体" w:hAnsi="宋体" w:cs="宋体"/>
                <w:color w:val="737373"/>
                <w:kern w:val="0"/>
                <w:szCs w:val="21"/>
              </w:rPr>
              <w:t> </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本信托计划拟发行规模为【15000】万元。</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信托计划委托人不超过200人。</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 </w:t>
            </w:r>
          </w:p>
        </w:tc>
      </w:tr>
      <w:tr w:rsidR="00287709" w:rsidRPr="00287709" w:rsidTr="00287709">
        <w:trPr>
          <w:trHeight w:val="195"/>
        </w:trPr>
        <w:tc>
          <w:tcPr>
            <w:tcW w:w="1860" w:type="dxa"/>
            <w:tcBorders>
              <w:top w:val="nil"/>
              <w:left w:val="single" w:sz="6" w:space="0" w:color="auto"/>
              <w:bottom w:val="single" w:sz="6" w:space="0" w:color="auto"/>
              <w:right w:val="single" w:sz="6" w:space="0" w:color="auto"/>
            </w:tcBorders>
            <w:tcMar>
              <w:top w:w="0" w:type="dxa"/>
              <w:left w:w="105" w:type="dxa"/>
              <w:bottom w:w="0" w:type="dxa"/>
              <w:right w:w="105" w:type="dxa"/>
            </w:tcMar>
            <w:hideMark/>
          </w:tcPr>
          <w:p w:rsidR="00287709" w:rsidRPr="00287709" w:rsidRDefault="00287709" w:rsidP="00287709">
            <w:pPr>
              <w:widowControl/>
              <w:spacing w:before="150" w:line="390" w:lineRule="atLeast"/>
              <w:jc w:val="left"/>
              <w:rPr>
                <w:rFonts w:ascii="宋体" w:eastAsia="宋体" w:hAnsi="宋体" w:cs="宋体"/>
                <w:color w:val="737373"/>
                <w:kern w:val="0"/>
                <w:szCs w:val="21"/>
              </w:rPr>
            </w:pPr>
            <w:r w:rsidRPr="00287709">
              <w:rPr>
                <w:rFonts w:ascii="宋体" w:eastAsia="宋体" w:hAnsi="宋体" w:cs="宋体"/>
                <w:color w:val="737373"/>
                <w:kern w:val="0"/>
                <w:szCs w:val="21"/>
              </w:rPr>
              <w:t> </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成立日</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 </w:t>
            </w:r>
          </w:p>
        </w:tc>
        <w:tc>
          <w:tcPr>
            <w:tcW w:w="6555" w:type="dxa"/>
            <w:tcBorders>
              <w:top w:val="nil"/>
              <w:left w:val="nil"/>
              <w:bottom w:val="single" w:sz="6" w:space="0" w:color="auto"/>
              <w:right w:val="single" w:sz="6" w:space="0" w:color="auto"/>
            </w:tcBorders>
            <w:tcMar>
              <w:top w:w="0" w:type="dxa"/>
              <w:left w:w="105" w:type="dxa"/>
              <w:bottom w:w="0" w:type="dxa"/>
              <w:right w:w="105" w:type="dxa"/>
            </w:tcMar>
            <w:hideMark/>
          </w:tcPr>
          <w:p w:rsidR="00287709" w:rsidRPr="00287709" w:rsidRDefault="00287709" w:rsidP="00287709">
            <w:pPr>
              <w:widowControl/>
              <w:spacing w:before="150" w:line="390" w:lineRule="atLeast"/>
              <w:jc w:val="left"/>
              <w:rPr>
                <w:rFonts w:ascii="宋体" w:eastAsia="宋体" w:hAnsi="宋体" w:cs="宋体"/>
                <w:color w:val="737373"/>
                <w:kern w:val="0"/>
                <w:szCs w:val="21"/>
              </w:rPr>
            </w:pPr>
            <w:r w:rsidRPr="00287709">
              <w:rPr>
                <w:rFonts w:ascii="宋体" w:eastAsia="宋体" w:hAnsi="宋体" w:cs="宋体"/>
                <w:color w:val="737373"/>
                <w:kern w:val="0"/>
                <w:szCs w:val="21"/>
              </w:rPr>
              <w:t> </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本信托计划成立日设为【20191016】。</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 </w:t>
            </w:r>
          </w:p>
        </w:tc>
      </w:tr>
      <w:tr w:rsidR="00287709" w:rsidRPr="00287709" w:rsidTr="00287709">
        <w:trPr>
          <w:trHeight w:val="195"/>
        </w:trPr>
        <w:tc>
          <w:tcPr>
            <w:tcW w:w="1860" w:type="dxa"/>
            <w:tcBorders>
              <w:top w:val="nil"/>
              <w:left w:val="single" w:sz="6" w:space="0" w:color="auto"/>
              <w:bottom w:val="single" w:sz="6" w:space="0" w:color="auto"/>
              <w:right w:val="single" w:sz="6" w:space="0" w:color="auto"/>
            </w:tcBorders>
            <w:tcMar>
              <w:top w:w="0" w:type="dxa"/>
              <w:left w:w="105" w:type="dxa"/>
              <w:bottom w:w="0" w:type="dxa"/>
              <w:right w:w="105" w:type="dxa"/>
            </w:tcMar>
            <w:hideMark/>
          </w:tcPr>
          <w:p w:rsidR="00287709" w:rsidRPr="00287709" w:rsidRDefault="00287709" w:rsidP="00287709">
            <w:pPr>
              <w:widowControl/>
              <w:spacing w:before="150" w:line="390" w:lineRule="atLeast"/>
              <w:jc w:val="left"/>
              <w:rPr>
                <w:rFonts w:ascii="宋体" w:eastAsia="宋体" w:hAnsi="宋体" w:cs="宋体"/>
                <w:color w:val="737373"/>
                <w:kern w:val="0"/>
                <w:szCs w:val="21"/>
              </w:rPr>
            </w:pPr>
            <w:r w:rsidRPr="00287709">
              <w:rPr>
                <w:rFonts w:ascii="宋体" w:eastAsia="宋体" w:hAnsi="宋体" w:cs="宋体"/>
                <w:color w:val="737373"/>
                <w:kern w:val="0"/>
                <w:szCs w:val="21"/>
              </w:rPr>
              <w:t> </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开放日</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 </w:t>
            </w:r>
          </w:p>
        </w:tc>
        <w:tc>
          <w:tcPr>
            <w:tcW w:w="6555" w:type="dxa"/>
            <w:tcBorders>
              <w:top w:val="nil"/>
              <w:left w:val="nil"/>
              <w:bottom w:val="single" w:sz="6" w:space="0" w:color="auto"/>
              <w:right w:val="single" w:sz="6" w:space="0" w:color="auto"/>
            </w:tcBorders>
            <w:tcMar>
              <w:top w:w="0" w:type="dxa"/>
              <w:left w:w="105" w:type="dxa"/>
              <w:bottom w:w="0" w:type="dxa"/>
              <w:right w:w="105" w:type="dxa"/>
            </w:tcMar>
            <w:hideMark/>
          </w:tcPr>
          <w:p w:rsidR="00287709" w:rsidRPr="00287709" w:rsidRDefault="00287709" w:rsidP="00287709">
            <w:pPr>
              <w:widowControl/>
              <w:spacing w:before="150" w:line="390" w:lineRule="atLeast"/>
              <w:jc w:val="left"/>
              <w:rPr>
                <w:rFonts w:ascii="宋体" w:eastAsia="宋体" w:hAnsi="宋体" w:cs="宋体"/>
                <w:color w:val="737373"/>
                <w:kern w:val="0"/>
                <w:szCs w:val="21"/>
              </w:rPr>
            </w:pPr>
            <w:r w:rsidRPr="00287709">
              <w:rPr>
                <w:rFonts w:ascii="宋体" w:eastAsia="宋体" w:hAnsi="宋体" w:cs="宋体"/>
                <w:color w:val="737373"/>
                <w:kern w:val="0"/>
                <w:szCs w:val="21"/>
              </w:rPr>
              <w:t> </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本信托计划开放日设为【20201015】，开放日默认赎回，本信托计划成立日到前述开放日期间封闭运作，封闭运作天数为【365】天。</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 </w:t>
            </w:r>
          </w:p>
        </w:tc>
      </w:tr>
      <w:tr w:rsidR="00287709" w:rsidRPr="00287709" w:rsidTr="00287709">
        <w:trPr>
          <w:trHeight w:val="285"/>
        </w:trPr>
        <w:tc>
          <w:tcPr>
            <w:tcW w:w="1860" w:type="dxa"/>
            <w:tcBorders>
              <w:top w:val="nil"/>
              <w:left w:val="single" w:sz="6" w:space="0" w:color="auto"/>
              <w:bottom w:val="single" w:sz="6" w:space="0" w:color="auto"/>
              <w:right w:val="single" w:sz="6" w:space="0" w:color="auto"/>
            </w:tcBorders>
            <w:tcMar>
              <w:top w:w="0" w:type="dxa"/>
              <w:left w:w="105" w:type="dxa"/>
              <w:bottom w:w="0" w:type="dxa"/>
              <w:right w:w="105" w:type="dxa"/>
            </w:tcMar>
            <w:hideMark/>
          </w:tcPr>
          <w:p w:rsidR="00287709" w:rsidRPr="00287709" w:rsidRDefault="00287709" w:rsidP="00287709">
            <w:pPr>
              <w:widowControl/>
              <w:spacing w:before="150" w:line="390" w:lineRule="atLeast"/>
              <w:jc w:val="left"/>
              <w:rPr>
                <w:rFonts w:ascii="宋体" w:eastAsia="宋体" w:hAnsi="宋体" w:cs="宋体"/>
                <w:color w:val="737373"/>
                <w:kern w:val="0"/>
                <w:szCs w:val="21"/>
              </w:rPr>
            </w:pPr>
            <w:r w:rsidRPr="00287709">
              <w:rPr>
                <w:rFonts w:ascii="宋体" w:eastAsia="宋体" w:hAnsi="宋体" w:cs="宋体"/>
                <w:color w:val="737373"/>
                <w:kern w:val="0"/>
                <w:szCs w:val="21"/>
              </w:rPr>
              <w:t> </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风险等级</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 </w:t>
            </w:r>
          </w:p>
        </w:tc>
        <w:tc>
          <w:tcPr>
            <w:tcW w:w="6555" w:type="dxa"/>
            <w:tcBorders>
              <w:top w:val="nil"/>
              <w:left w:val="nil"/>
              <w:bottom w:val="single" w:sz="6" w:space="0" w:color="auto"/>
              <w:right w:val="single" w:sz="6" w:space="0" w:color="auto"/>
            </w:tcBorders>
            <w:tcMar>
              <w:top w:w="0" w:type="dxa"/>
              <w:left w:w="105" w:type="dxa"/>
              <w:bottom w:w="0" w:type="dxa"/>
              <w:right w:w="105" w:type="dxa"/>
            </w:tcMar>
            <w:hideMark/>
          </w:tcPr>
          <w:p w:rsidR="00287709" w:rsidRPr="00287709" w:rsidRDefault="00287709" w:rsidP="00287709">
            <w:pPr>
              <w:widowControl/>
              <w:spacing w:before="150" w:line="390" w:lineRule="atLeast"/>
              <w:jc w:val="left"/>
              <w:rPr>
                <w:rFonts w:ascii="宋体" w:eastAsia="宋体" w:hAnsi="宋体" w:cs="宋体"/>
                <w:color w:val="737373"/>
                <w:kern w:val="0"/>
                <w:szCs w:val="21"/>
              </w:rPr>
            </w:pPr>
            <w:r w:rsidRPr="00287709">
              <w:rPr>
                <w:rFonts w:ascii="宋体" w:eastAsia="宋体" w:hAnsi="宋体" w:cs="宋体"/>
                <w:color w:val="737373"/>
                <w:kern w:val="0"/>
                <w:szCs w:val="21"/>
              </w:rPr>
              <w:t> </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本信托计划成立时风险等级为[R3]。</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 </w:t>
            </w:r>
          </w:p>
        </w:tc>
      </w:tr>
      <w:tr w:rsidR="00287709" w:rsidRPr="00287709" w:rsidTr="00287709">
        <w:trPr>
          <w:trHeight w:val="705"/>
        </w:trPr>
        <w:tc>
          <w:tcPr>
            <w:tcW w:w="1860" w:type="dxa"/>
            <w:tcBorders>
              <w:top w:val="nil"/>
              <w:left w:val="single" w:sz="6" w:space="0" w:color="auto"/>
              <w:bottom w:val="single" w:sz="6" w:space="0" w:color="auto"/>
              <w:right w:val="single" w:sz="6" w:space="0" w:color="auto"/>
            </w:tcBorders>
            <w:tcMar>
              <w:top w:w="0" w:type="dxa"/>
              <w:left w:w="105" w:type="dxa"/>
              <w:bottom w:w="0" w:type="dxa"/>
              <w:right w:w="105" w:type="dxa"/>
            </w:tcMar>
            <w:hideMark/>
          </w:tcPr>
          <w:p w:rsidR="00287709" w:rsidRPr="00287709" w:rsidRDefault="00287709" w:rsidP="00287709">
            <w:pPr>
              <w:widowControl/>
              <w:spacing w:before="150" w:line="390" w:lineRule="atLeast"/>
              <w:jc w:val="left"/>
              <w:rPr>
                <w:rFonts w:ascii="宋体" w:eastAsia="宋体" w:hAnsi="宋体" w:cs="宋体"/>
                <w:color w:val="737373"/>
                <w:kern w:val="0"/>
                <w:szCs w:val="21"/>
              </w:rPr>
            </w:pPr>
            <w:r w:rsidRPr="00287709">
              <w:rPr>
                <w:rFonts w:ascii="宋体" w:eastAsia="宋体" w:hAnsi="宋体" w:cs="宋体"/>
                <w:color w:val="737373"/>
                <w:kern w:val="0"/>
                <w:szCs w:val="21"/>
              </w:rPr>
              <w:t> </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风险提示</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 </w:t>
            </w:r>
          </w:p>
        </w:tc>
        <w:tc>
          <w:tcPr>
            <w:tcW w:w="6555" w:type="dxa"/>
            <w:tcBorders>
              <w:top w:val="nil"/>
              <w:left w:val="nil"/>
              <w:bottom w:val="single" w:sz="6" w:space="0" w:color="auto"/>
              <w:right w:val="single" w:sz="6" w:space="0" w:color="auto"/>
            </w:tcBorders>
            <w:tcMar>
              <w:top w:w="0" w:type="dxa"/>
              <w:left w:w="105" w:type="dxa"/>
              <w:bottom w:w="0" w:type="dxa"/>
              <w:right w:w="105" w:type="dxa"/>
            </w:tcMar>
            <w:hideMark/>
          </w:tcPr>
          <w:p w:rsidR="00287709" w:rsidRPr="00287709" w:rsidRDefault="00287709" w:rsidP="00287709">
            <w:pPr>
              <w:widowControl/>
              <w:spacing w:before="150" w:line="390" w:lineRule="atLeast"/>
              <w:jc w:val="left"/>
              <w:rPr>
                <w:rFonts w:ascii="宋体" w:eastAsia="宋体" w:hAnsi="宋体" w:cs="宋体"/>
                <w:color w:val="737373"/>
                <w:kern w:val="0"/>
                <w:szCs w:val="21"/>
              </w:rPr>
            </w:pPr>
            <w:r w:rsidRPr="00287709">
              <w:rPr>
                <w:rFonts w:ascii="宋体" w:eastAsia="宋体" w:hAnsi="宋体" w:cs="宋体"/>
                <w:color w:val="737373"/>
                <w:kern w:val="0"/>
                <w:szCs w:val="21"/>
              </w:rPr>
              <w:t> </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本信托计划的信托资金主要投资于由鹏华基金管理有限公司担任管理人的鹏华</w:t>
            </w:r>
            <w:proofErr w:type="gramStart"/>
            <w:r w:rsidRPr="00287709">
              <w:rPr>
                <w:rFonts w:ascii="宋体" w:eastAsia="宋体" w:hAnsi="宋体" w:cs="宋体"/>
                <w:color w:val="737373"/>
                <w:kern w:val="0"/>
                <w:szCs w:val="21"/>
              </w:rPr>
              <w:t>基金鹏诚债券</w:t>
            </w:r>
            <w:proofErr w:type="gramEnd"/>
            <w:r w:rsidRPr="00287709">
              <w:rPr>
                <w:rFonts w:ascii="宋体" w:eastAsia="宋体" w:hAnsi="宋体" w:cs="宋体"/>
                <w:color w:val="737373"/>
                <w:kern w:val="0"/>
                <w:szCs w:val="21"/>
              </w:rPr>
              <w:t>增强1号集合资产管理计划（以下简称“标的资管产品”）以及银行存款、货币市场基金等。上述投资具有一定风险，可能会因为证券市场价格波动、国家政策变化、</w:t>
            </w:r>
            <w:proofErr w:type="gramStart"/>
            <w:r w:rsidRPr="00287709">
              <w:rPr>
                <w:rFonts w:ascii="宋体" w:eastAsia="宋体" w:hAnsi="宋体" w:cs="宋体"/>
                <w:color w:val="737373"/>
                <w:kern w:val="0"/>
                <w:szCs w:val="21"/>
              </w:rPr>
              <w:t>标的资管产品</w:t>
            </w:r>
            <w:proofErr w:type="gramEnd"/>
            <w:r w:rsidRPr="00287709">
              <w:rPr>
                <w:rFonts w:ascii="宋体" w:eastAsia="宋体" w:hAnsi="宋体" w:cs="宋体"/>
                <w:color w:val="737373"/>
                <w:kern w:val="0"/>
                <w:szCs w:val="21"/>
              </w:rPr>
              <w:t>管理人决策失误等原因而导致信托财产蒙受损失。投资者在赎回或信托计划清算时取得的资金可能显著低于其投入的信托资金。</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lastRenderedPageBreak/>
              <w:t>委托人/受益人确认，同意本信托计划约定的信托财产投资范围、信托财产的管理、运用和处分方式等事项，并对信托财产运用过程中存在的全部风险有充分认识，自愿承担因该等风险给信托财产造成的一切损失。投资者在信托计划清算时取得的资金可能显著低于其投入的信托资金甚至可能为全部损失。</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委托人/受益人知晓并同意，受托人依据信托文件管理信托财产所产生的风险，由信托财产承担。受托人因违背信托文件、处理信托事务不当而造成信托财产损失的，由受托人以固有财产赔偿；不足赔偿时，由投资者自担。本信托计划并不保证盈利，亦不保证投资者本金不受损失；信托公司、证券投资信托业务人员等相关机构和人员的过往业绩不代表本信托计划未来运作的实际效果。</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关于本信托计划可能发生的风险，请委托人详细阅读本信托计划认购风险申明书。</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 </w:t>
            </w:r>
          </w:p>
        </w:tc>
      </w:tr>
      <w:tr w:rsidR="00287709" w:rsidRPr="00287709" w:rsidTr="00287709">
        <w:trPr>
          <w:trHeight w:val="705"/>
        </w:trPr>
        <w:tc>
          <w:tcPr>
            <w:tcW w:w="1860" w:type="dxa"/>
            <w:tcBorders>
              <w:top w:val="nil"/>
              <w:left w:val="single" w:sz="6" w:space="0" w:color="auto"/>
              <w:bottom w:val="single" w:sz="6" w:space="0" w:color="auto"/>
              <w:right w:val="single" w:sz="6" w:space="0" w:color="auto"/>
            </w:tcBorders>
            <w:tcMar>
              <w:top w:w="0" w:type="dxa"/>
              <w:left w:w="105" w:type="dxa"/>
              <w:bottom w:w="0" w:type="dxa"/>
              <w:right w:w="105" w:type="dxa"/>
            </w:tcMar>
            <w:hideMark/>
          </w:tcPr>
          <w:p w:rsidR="00287709" w:rsidRPr="00287709" w:rsidRDefault="00287709" w:rsidP="00287709">
            <w:pPr>
              <w:widowControl/>
              <w:spacing w:before="150" w:line="390" w:lineRule="atLeast"/>
              <w:jc w:val="left"/>
              <w:rPr>
                <w:rFonts w:ascii="宋体" w:eastAsia="宋体" w:hAnsi="宋体" w:cs="宋体"/>
                <w:color w:val="737373"/>
                <w:kern w:val="0"/>
                <w:szCs w:val="21"/>
              </w:rPr>
            </w:pPr>
            <w:r w:rsidRPr="00287709">
              <w:rPr>
                <w:rFonts w:ascii="宋体" w:eastAsia="宋体" w:hAnsi="宋体" w:cs="宋体"/>
                <w:color w:val="737373"/>
                <w:kern w:val="0"/>
                <w:szCs w:val="21"/>
              </w:rPr>
              <w:lastRenderedPageBreak/>
              <w:t> </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proofErr w:type="gramStart"/>
            <w:r w:rsidRPr="00287709">
              <w:rPr>
                <w:rFonts w:ascii="宋体" w:eastAsia="宋体" w:hAnsi="宋体" w:cs="宋体"/>
                <w:color w:val="737373"/>
                <w:kern w:val="0"/>
                <w:szCs w:val="21"/>
              </w:rPr>
              <w:t>官网查询</w:t>
            </w:r>
            <w:proofErr w:type="gramEnd"/>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 </w:t>
            </w:r>
          </w:p>
        </w:tc>
        <w:tc>
          <w:tcPr>
            <w:tcW w:w="6555" w:type="dxa"/>
            <w:tcBorders>
              <w:top w:val="nil"/>
              <w:left w:val="nil"/>
              <w:bottom w:val="single" w:sz="6" w:space="0" w:color="auto"/>
              <w:right w:val="single" w:sz="6" w:space="0" w:color="auto"/>
            </w:tcBorders>
            <w:tcMar>
              <w:top w:w="0" w:type="dxa"/>
              <w:left w:w="105" w:type="dxa"/>
              <w:bottom w:w="0" w:type="dxa"/>
              <w:right w:w="105" w:type="dxa"/>
            </w:tcMar>
            <w:hideMark/>
          </w:tcPr>
          <w:p w:rsidR="00287709" w:rsidRPr="00287709" w:rsidRDefault="00287709" w:rsidP="00287709">
            <w:pPr>
              <w:widowControl/>
              <w:spacing w:before="150" w:line="390" w:lineRule="atLeast"/>
              <w:jc w:val="left"/>
              <w:rPr>
                <w:rFonts w:ascii="宋体" w:eastAsia="宋体" w:hAnsi="宋体" w:cs="宋体"/>
                <w:color w:val="737373"/>
                <w:kern w:val="0"/>
                <w:szCs w:val="21"/>
              </w:rPr>
            </w:pPr>
            <w:r w:rsidRPr="00287709">
              <w:rPr>
                <w:rFonts w:ascii="宋体" w:eastAsia="宋体" w:hAnsi="宋体" w:cs="宋体"/>
                <w:color w:val="737373"/>
                <w:kern w:val="0"/>
                <w:szCs w:val="21"/>
              </w:rPr>
              <w:t> </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受托人每周在其网站上公布信托单位净值；每月在其网站上披露上月末信托单位净值；受托人将按季制作信托资金管理报告并在受托人网站（www.fotic.com.cn)“网上信托”栏目进行披露。登录用户名为委托人/受益人证件号码，密码默认为证件号码后6位（如含文字、字母、符号等非数字形式字符，该位字符替换为数字0）。如有疑问，可拨打财富热线400-898-8806咨询。</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 </w:t>
            </w:r>
          </w:p>
        </w:tc>
      </w:tr>
      <w:tr w:rsidR="00287709" w:rsidRPr="00287709" w:rsidTr="00287709">
        <w:trPr>
          <w:trHeight w:val="195"/>
        </w:trPr>
        <w:tc>
          <w:tcPr>
            <w:tcW w:w="1860" w:type="dxa"/>
            <w:tcBorders>
              <w:top w:val="nil"/>
              <w:left w:val="single" w:sz="6" w:space="0" w:color="auto"/>
              <w:bottom w:val="single" w:sz="6" w:space="0" w:color="auto"/>
              <w:right w:val="single" w:sz="6" w:space="0" w:color="auto"/>
            </w:tcBorders>
            <w:tcMar>
              <w:top w:w="0" w:type="dxa"/>
              <w:left w:w="105" w:type="dxa"/>
              <w:bottom w:w="0" w:type="dxa"/>
              <w:right w:w="105" w:type="dxa"/>
            </w:tcMar>
            <w:hideMark/>
          </w:tcPr>
          <w:p w:rsidR="00287709" w:rsidRPr="00287709" w:rsidRDefault="00287709" w:rsidP="00287709">
            <w:pPr>
              <w:widowControl/>
              <w:spacing w:before="150" w:line="390" w:lineRule="atLeast"/>
              <w:jc w:val="left"/>
              <w:rPr>
                <w:rFonts w:ascii="宋体" w:eastAsia="宋体" w:hAnsi="宋体" w:cs="宋体"/>
                <w:color w:val="737373"/>
                <w:kern w:val="0"/>
                <w:szCs w:val="21"/>
              </w:rPr>
            </w:pPr>
            <w:r w:rsidRPr="00287709">
              <w:rPr>
                <w:rFonts w:ascii="宋体" w:eastAsia="宋体" w:hAnsi="宋体" w:cs="宋体"/>
                <w:color w:val="737373"/>
                <w:kern w:val="0"/>
                <w:szCs w:val="21"/>
              </w:rPr>
              <w:t> </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标的资产管理</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计划名称</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 </w:t>
            </w:r>
          </w:p>
        </w:tc>
        <w:tc>
          <w:tcPr>
            <w:tcW w:w="6555" w:type="dxa"/>
            <w:tcBorders>
              <w:top w:val="nil"/>
              <w:left w:val="nil"/>
              <w:bottom w:val="single" w:sz="6" w:space="0" w:color="auto"/>
              <w:right w:val="single" w:sz="6" w:space="0" w:color="auto"/>
            </w:tcBorders>
            <w:tcMar>
              <w:top w:w="0" w:type="dxa"/>
              <w:left w:w="105" w:type="dxa"/>
              <w:bottom w:w="0" w:type="dxa"/>
              <w:right w:w="105" w:type="dxa"/>
            </w:tcMar>
            <w:hideMark/>
          </w:tcPr>
          <w:p w:rsidR="00287709" w:rsidRPr="00287709" w:rsidRDefault="00287709" w:rsidP="00287709">
            <w:pPr>
              <w:widowControl/>
              <w:spacing w:before="150" w:line="390" w:lineRule="atLeast"/>
              <w:jc w:val="left"/>
              <w:rPr>
                <w:rFonts w:ascii="宋体" w:eastAsia="宋体" w:hAnsi="宋体" w:cs="宋体"/>
                <w:color w:val="737373"/>
                <w:kern w:val="0"/>
                <w:szCs w:val="21"/>
              </w:rPr>
            </w:pPr>
            <w:r w:rsidRPr="00287709">
              <w:rPr>
                <w:rFonts w:ascii="宋体" w:eastAsia="宋体" w:hAnsi="宋体" w:cs="宋体"/>
                <w:color w:val="737373"/>
                <w:kern w:val="0"/>
                <w:szCs w:val="21"/>
              </w:rPr>
              <w:t> </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鹏华</w:t>
            </w:r>
            <w:proofErr w:type="gramStart"/>
            <w:r w:rsidRPr="00287709">
              <w:rPr>
                <w:rFonts w:ascii="宋体" w:eastAsia="宋体" w:hAnsi="宋体" w:cs="宋体"/>
                <w:color w:val="737373"/>
                <w:kern w:val="0"/>
                <w:szCs w:val="21"/>
              </w:rPr>
              <w:t>基金鹏诚债券</w:t>
            </w:r>
            <w:proofErr w:type="gramEnd"/>
            <w:r w:rsidRPr="00287709">
              <w:rPr>
                <w:rFonts w:ascii="宋体" w:eastAsia="宋体" w:hAnsi="宋体" w:cs="宋体"/>
                <w:color w:val="737373"/>
                <w:kern w:val="0"/>
                <w:szCs w:val="21"/>
              </w:rPr>
              <w:t>增强1号集合资产管理计划</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 </w:t>
            </w:r>
          </w:p>
        </w:tc>
      </w:tr>
      <w:tr w:rsidR="00287709" w:rsidRPr="00287709" w:rsidTr="00287709">
        <w:trPr>
          <w:trHeight w:val="600"/>
        </w:trPr>
        <w:tc>
          <w:tcPr>
            <w:tcW w:w="1860" w:type="dxa"/>
            <w:tcBorders>
              <w:top w:val="nil"/>
              <w:left w:val="single" w:sz="6" w:space="0" w:color="auto"/>
              <w:bottom w:val="single" w:sz="6" w:space="0" w:color="auto"/>
              <w:right w:val="single" w:sz="6" w:space="0" w:color="auto"/>
            </w:tcBorders>
            <w:tcMar>
              <w:top w:w="0" w:type="dxa"/>
              <w:left w:w="105" w:type="dxa"/>
              <w:bottom w:w="0" w:type="dxa"/>
              <w:right w:w="105" w:type="dxa"/>
            </w:tcMar>
            <w:hideMark/>
          </w:tcPr>
          <w:p w:rsidR="00287709" w:rsidRPr="00287709" w:rsidRDefault="00287709" w:rsidP="00287709">
            <w:pPr>
              <w:widowControl/>
              <w:spacing w:before="150" w:line="390" w:lineRule="atLeast"/>
              <w:jc w:val="left"/>
              <w:rPr>
                <w:rFonts w:ascii="宋体" w:eastAsia="宋体" w:hAnsi="宋体" w:cs="宋体"/>
                <w:color w:val="737373"/>
                <w:kern w:val="0"/>
                <w:szCs w:val="21"/>
              </w:rPr>
            </w:pPr>
            <w:r w:rsidRPr="00287709">
              <w:rPr>
                <w:rFonts w:ascii="宋体" w:eastAsia="宋体" w:hAnsi="宋体" w:cs="宋体"/>
                <w:color w:val="737373"/>
                <w:kern w:val="0"/>
                <w:szCs w:val="21"/>
              </w:rPr>
              <w:t> </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标的资产管理计划的投资策略</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 </w:t>
            </w:r>
          </w:p>
        </w:tc>
        <w:tc>
          <w:tcPr>
            <w:tcW w:w="6555" w:type="dxa"/>
            <w:tcBorders>
              <w:top w:val="nil"/>
              <w:left w:val="nil"/>
              <w:bottom w:val="single" w:sz="6" w:space="0" w:color="auto"/>
              <w:right w:val="single" w:sz="6" w:space="0" w:color="auto"/>
            </w:tcBorders>
            <w:tcMar>
              <w:top w:w="0" w:type="dxa"/>
              <w:left w:w="105" w:type="dxa"/>
              <w:bottom w:w="0" w:type="dxa"/>
              <w:right w:w="105" w:type="dxa"/>
            </w:tcMar>
            <w:hideMark/>
          </w:tcPr>
          <w:p w:rsidR="00287709" w:rsidRPr="00287709" w:rsidRDefault="00287709" w:rsidP="00287709">
            <w:pPr>
              <w:widowControl/>
              <w:spacing w:before="150" w:line="390" w:lineRule="atLeast"/>
              <w:jc w:val="left"/>
              <w:rPr>
                <w:rFonts w:ascii="宋体" w:eastAsia="宋体" w:hAnsi="宋体" w:cs="宋体"/>
                <w:color w:val="737373"/>
                <w:kern w:val="0"/>
                <w:szCs w:val="21"/>
              </w:rPr>
            </w:pPr>
            <w:r w:rsidRPr="00287709">
              <w:rPr>
                <w:rFonts w:ascii="宋体" w:eastAsia="宋体" w:hAnsi="宋体" w:cs="宋体"/>
                <w:color w:val="737373"/>
                <w:kern w:val="0"/>
                <w:szCs w:val="21"/>
              </w:rPr>
              <w:t> </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以下所称本计划、本</w:t>
            </w:r>
            <w:proofErr w:type="gramStart"/>
            <w:r w:rsidRPr="00287709">
              <w:rPr>
                <w:rFonts w:ascii="宋体" w:eastAsia="宋体" w:hAnsi="宋体" w:cs="宋体"/>
                <w:color w:val="737373"/>
                <w:kern w:val="0"/>
                <w:szCs w:val="21"/>
              </w:rPr>
              <w:t>资管计划等均指标</w:t>
            </w:r>
            <w:proofErr w:type="gramEnd"/>
            <w:r w:rsidRPr="00287709">
              <w:rPr>
                <w:rFonts w:ascii="宋体" w:eastAsia="宋体" w:hAnsi="宋体" w:cs="宋体"/>
                <w:color w:val="737373"/>
                <w:kern w:val="0"/>
                <w:szCs w:val="21"/>
              </w:rPr>
              <w:t>的资产管理计划，标的资产管理计划投资策略</w:t>
            </w:r>
            <w:proofErr w:type="gramStart"/>
            <w:r w:rsidRPr="00287709">
              <w:rPr>
                <w:rFonts w:ascii="宋体" w:eastAsia="宋体" w:hAnsi="宋体" w:cs="宋体"/>
                <w:color w:val="737373"/>
                <w:kern w:val="0"/>
                <w:szCs w:val="21"/>
              </w:rPr>
              <w:t>以资管计划</w:t>
            </w:r>
            <w:proofErr w:type="gramEnd"/>
            <w:r w:rsidRPr="00287709">
              <w:rPr>
                <w:rFonts w:ascii="宋体" w:eastAsia="宋体" w:hAnsi="宋体" w:cs="宋体"/>
                <w:color w:val="737373"/>
                <w:kern w:val="0"/>
                <w:szCs w:val="21"/>
              </w:rPr>
              <w:t>合同等法律文件为准。</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本计划债券投资将主要采用买入并持有策略，同时</w:t>
            </w:r>
            <w:proofErr w:type="gramStart"/>
            <w:r w:rsidRPr="00287709">
              <w:rPr>
                <w:rFonts w:ascii="宋体" w:eastAsia="宋体" w:hAnsi="宋体" w:cs="宋体"/>
                <w:color w:val="737373"/>
                <w:kern w:val="0"/>
                <w:szCs w:val="21"/>
              </w:rPr>
              <w:t>辅以久期策</w:t>
            </w:r>
            <w:r w:rsidRPr="00287709">
              <w:rPr>
                <w:rFonts w:ascii="宋体" w:eastAsia="宋体" w:hAnsi="宋体" w:cs="宋体"/>
                <w:color w:val="737373"/>
                <w:kern w:val="0"/>
                <w:szCs w:val="21"/>
              </w:rPr>
              <w:lastRenderedPageBreak/>
              <w:t>略</w:t>
            </w:r>
            <w:proofErr w:type="gramEnd"/>
            <w:r w:rsidRPr="00287709">
              <w:rPr>
                <w:rFonts w:ascii="宋体" w:eastAsia="宋体" w:hAnsi="宋体" w:cs="宋体"/>
                <w:color w:val="737373"/>
                <w:kern w:val="0"/>
                <w:szCs w:val="21"/>
              </w:rPr>
              <w:t>、收益率曲线策略、骑乘策略、息差策略、债券选择策略等积极投资策略，在严格控制风险的基础上，通过严格的利差分析和对利率曲线变动趋势的判断，提高组合流动性和收益率水平，同时可适当少量投资于股票，以争取增厚组合收益。</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1、资产配置策略</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在资产配置方面，本组合通过对宏观经济形势、经济周期所处阶段、利率曲线变化趋势和信用利差变化趋势的重点分析，比较未来一定时间内不同债券品种和债券市场的相对预期收益率，在组合规定的投资比例范围内对不同久期、信用特征的券种及债券与现金之间进行动态调整。并在股票市场存在趋势性机会时可少量投资于股票。</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2、债券投资策略</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本组合主要采用买入并持有策略，同时，灵活</w:t>
            </w:r>
            <w:proofErr w:type="gramStart"/>
            <w:r w:rsidRPr="00287709">
              <w:rPr>
                <w:rFonts w:ascii="宋体" w:eastAsia="宋体" w:hAnsi="宋体" w:cs="宋体"/>
                <w:color w:val="737373"/>
                <w:kern w:val="0"/>
                <w:szCs w:val="21"/>
              </w:rPr>
              <w:t>应用久期策略</w:t>
            </w:r>
            <w:proofErr w:type="gramEnd"/>
            <w:r w:rsidRPr="00287709">
              <w:rPr>
                <w:rFonts w:ascii="宋体" w:eastAsia="宋体" w:hAnsi="宋体" w:cs="宋体"/>
                <w:color w:val="737373"/>
                <w:kern w:val="0"/>
                <w:szCs w:val="21"/>
              </w:rPr>
              <w:t>、收益率曲线策略、骑乘策略、息差策略、债券选择策略等积极投资策略。</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（1）</w:t>
            </w:r>
            <w:proofErr w:type="gramStart"/>
            <w:r w:rsidRPr="00287709">
              <w:rPr>
                <w:rFonts w:ascii="宋体" w:eastAsia="宋体" w:hAnsi="宋体" w:cs="宋体"/>
                <w:color w:val="737373"/>
                <w:kern w:val="0"/>
                <w:szCs w:val="21"/>
              </w:rPr>
              <w:t>久期策略</w:t>
            </w:r>
            <w:proofErr w:type="gramEnd"/>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本组合将通过自上而下的</w:t>
            </w:r>
            <w:proofErr w:type="gramStart"/>
            <w:r w:rsidRPr="00287709">
              <w:rPr>
                <w:rFonts w:ascii="宋体" w:eastAsia="宋体" w:hAnsi="宋体" w:cs="宋体"/>
                <w:color w:val="737373"/>
                <w:kern w:val="0"/>
                <w:szCs w:val="21"/>
              </w:rPr>
              <w:t>组合久期管理</w:t>
            </w:r>
            <w:proofErr w:type="gramEnd"/>
            <w:r w:rsidRPr="00287709">
              <w:rPr>
                <w:rFonts w:ascii="宋体" w:eastAsia="宋体" w:hAnsi="宋体" w:cs="宋体"/>
                <w:color w:val="737373"/>
                <w:kern w:val="0"/>
                <w:szCs w:val="21"/>
              </w:rPr>
              <w:t>策略，以实现对组合利率风险的有效控制。组合管理人将根据对宏观经济周期所处阶段及其他相关因素的</w:t>
            </w:r>
            <w:proofErr w:type="gramStart"/>
            <w:r w:rsidRPr="00287709">
              <w:rPr>
                <w:rFonts w:ascii="宋体" w:eastAsia="宋体" w:hAnsi="宋体" w:cs="宋体"/>
                <w:color w:val="737373"/>
                <w:kern w:val="0"/>
                <w:szCs w:val="21"/>
              </w:rPr>
              <w:t>研判调整</w:t>
            </w:r>
            <w:proofErr w:type="gramEnd"/>
            <w:r w:rsidRPr="00287709">
              <w:rPr>
                <w:rFonts w:ascii="宋体" w:eastAsia="宋体" w:hAnsi="宋体" w:cs="宋体"/>
                <w:color w:val="737373"/>
                <w:kern w:val="0"/>
                <w:szCs w:val="21"/>
              </w:rPr>
              <w:t>组合久期。如果预期利率下降，本组合将增加组合的久期，以较多地获得债券价格上涨带来的收益；反之，如果预期利率上升，本组合将缩短组合的久期，以减小债券价格下跌带来的风险。</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（2）收益率曲线策略</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收益率曲线的形状变化是判断市场整体走向的依据之一，本组合将据此调整组合长、中、短期债券的搭配。本组合将通过对收益率曲线变化的预测，适时采用子弹式、杠铃型或梯形策略构造组合，并进行动态调整。</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（3）骑乘策略</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本组合将采用骑乘策略增强组合的持有期收益。这一策略即通过对收益率曲线的分析，在可选的</w:t>
            </w:r>
            <w:proofErr w:type="gramStart"/>
            <w:r w:rsidRPr="00287709">
              <w:rPr>
                <w:rFonts w:ascii="宋体" w:eastAsia="宋体" w:hAnsi="宋体" w:cs="宋体"/>
                <w:color w:val="737373"/>
                <w:kern w:val="0"/>
                <w:szCs w:val="21"/>
              </w:rPr>
              <w:t>目标久期区间</w:t>
            </w:r>
            <w:proofErr w:type="gramEnd"/>
            <w:r w:rsidRPr="00287709">
              <w:rPr>
                <w:rFonts w:ascii="宋体" w:eastAsia="宋体" w:hAnsi="宋体" w:cs="宋体"/>
                <w:color w:val="737373"/>
                <w:kern w:val="0"/>
                <w:szCs w:val="21"/>
              </w:rPr>
              <w:t>买入期限位于收益率曲线较陡峭处右侧的债券。在收益率曲线不变动的情况下，随着</w:t>
            </w:r>
            <w:r w:rsidRPr="00287709">
              <w:rPr>
                <w:rFonts w:ascii="宋体" w:eastAsia="宋体" w:hAnsi="宋体" w:cs="宋体"/>
                <w:color w:val="737373"/>
                <w:kern w:val="0"/>
                <w:szCs w:val="21"/>
              </w:rPr>
              <w:lastRenderedPageBreak/>
              <w:t>其剩余期限的衰减，债券收益率将沿着陡峭的收益率曲线有较大幅度的下滑，从而获得较高的资本收益；即使收益率曲线上升或进一步变陡，这一策略也能够提供更多的安全边际。</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（4）息差策略</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本组合将利用回购利率低于债券收益率的情形，放大债券投资的收益。</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（5）债券选择策略</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本组合通过主动承担适度的信用风险来获取较高的收益，所以在个</w:t>
            </w:r>
            <w:proofErr w:type="gramStart"/>
            <w:r w:rsidRPr="00287709">
              <w:rPr>
                <w:rFonts w:ascii="宋体" w:eastAsia="宋体" w:hAnsi="宋体" w:cs="宋体"/>
                <w:color w:val="737373"/>
                <w:kern w:val="0"/>
                <w:szCs w:val="21"/>
              </w:rPr>
              <w:t>券</w:t>
            </w:r>
            <w:proofErr w:type="gramEnd"/>
            <w:r w:rsidRPr="00287709">
              <w:rPr>
                <w:rFonts w:ascii="宋体" w:eastAsia="宋体" w:hAnsi="宋体" w:cs="宋体"/>
                <w:color w:val="737373"/>
                <w:kern w:val="0"/>
                <w:szCs w:val="21"/>
              </w:rPr>
              <w:t>的选择上特别重视信用风险的评估和防范。本组合投资的债券来自于公司信用品种库，公司信用分析</w:t>
            </w:r>
            <w:proofErr w:type="gramStart"/>
            <w:r w:rsidRPr="00287709">
              <w:rPr>
                <w:rFonts w:ascii="宋体" w:eastAsia="宋体" w:hAnsi="宋体" w:cs="宋体"/>
                <w:color w:val="737373"/>
                <w:kern w:val="0"/>
                <w:szCs w:val="21"/>
              </w:rPr>
              <w:t>师采用</w:t>
            </w:r>
            <w:proofErr w:type="gramEnd"/>
            <w:r w:rsidRPr="00287709">
              <w:rPr>
                <w:rFonts w:ascii="宋体" w:eastAsia="宋体" w:hAnsi="宋体" w:cs="宋体"/>
                <w:color w:val="737373"/>
                <w:kern w:val="0"/>
                <w:szCs w:val="21"/>
              </w:rPr>
              <w:t>内部评级体系对债券的信用风险进行评估，所考虑的因素包括国民经济运行的周期阶段、债券发行人所处行业的发展前景、发展状况、市场地位、财务状况、管理水平和债务水平、债券增信措施等。</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信用债的收益率主要受信用利差曲线变化和其自身信用评级变化两方面的影响，相应地，本组合将采用以下两种投资策略：</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1）信用利差曲线变化策略：首先分析经济周期和相关市场变化情况，其次分析信用债市场容量、结构、流动性等变化趋势，最后综合分析信用利差曲线整体及分行业走势，确定本组合信用债券分行业投资比例。</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2）信用变化策略：信用债信用评级的变化将会影响债券的价格，本组合将根据对债券信用评级变化的预判，提前调整组合的投资策略。</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本组合将根据内部信用评级结果，结合对类似债券信用利差的分析以及对未来信用利差走势的判断，选择信用利差被高估、未来信用利差可能下降的信用债券进行投资。</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3、股票投资策略</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本计划股票投资以精选个股为主。发挥管理人专业研究团队的研究能力，考虑行业生命周期、景气程度、估值水平以及股票市场行业轮动规律的基础上决定行业的配置，并投资于符合社会发展、管理优秀、盈利增速稳定可靠的企业。</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（1）定性分析：本产品在行业配置选择中重点关注三方面：一</w:t>
            </w:r>
            <w:r w:rsidRPr="00287709">
              <w:rPr>
                <w:rFonts w:ascii="宋体" w:eastAsia="宋体" w:hAnsi="宋体" w:cs="宋体"/>
                <w:color w:val="737373"/>
                <w:kern w:val="0"/>
                <w:szCs w:val="21"/>
              </w:rPr>
              <w:lastRenderedPageBreak/>
              <w:t>是寻找宏观经济周期与行业轮动的契合点；二是通过行业生命周期识别行业特征；三是分析国家经济发展政策导向。</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（2）定量分析：本产品在行业资产配置的定量分析中将重点考虑行业的景气度以及行业估值。</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（3）筛选具有比较优势的个股。结合定量、定性分析，根据个股基本面、盈利增长确定性和投资吸引力自下而上考察和筛选具有低估值、高成长特点的股票。</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 </w:t>
            </w:r>
          </w:p>
        </w:tc>
      </w:tr>
      <w:tr w:rsidR="00287709" w:rsidRPr="00287709" w:rsidTr="00287709">
        <w:trPr>
          <w:trHeight w:val="780"/>
        </w:trPr>
        <w:tc>
          <w:tcPr>
            <w:tcW w:w="1860" w:type="dxa"/>
            <w:tcBorders>
              <w:top w:val="nil"/>
              <w:left w:val="single" w:sz="6" w:space="0" w:color="auto"/>
              <w:bottom w:val="single" w:sz="6" w:space="0" w:color="auto"/>
              <w:right w:val="single" w:sz="6" w:space="0" w:color="auto"/>
            </w:tcBorders>
            <w:tcMar>
              <w:top w:w="0" w:type="dxa"/>
              <w:left w:w="105" w:type="dxa"/>
              <w:bottom w:w="0" w:type="dxa"/>
              <w:right w:w="105" w:type="dxa"/>
            </w:tcMar>
            <w:hideMark/>
          </w:tcPr>
          <w:p w:rsidR="00287709" w:rsidRPr="00287709" w:rsidRDefault="00287709" w:rsidP="00287709">
            <w:pPr>
              <w:widowControl/>
              <w:spacing w:before="150" w:line="390" w:lineRule="atLeast"/>
              <w:jc w:val="left"/>
              <w:rPr>
                <w:rFonts w:ascii="宋体" w:eastAsia="宋体" w:hAnsi="宋体" w:cs="宋体"/>
                <w:color w:val="737373"/>
                <w:kern w:val="0"/>
                <w:szCs w:val="21"/>
              </w:rPr>
            </w:pPr>
            <w:r w:rsidRPr="00287709">
              <w:rPr>
                <w:rFonts w:ascii="宋体" w:eastAsia="宋体" w:hAnsi="宋体" w:cs="宋体"/>
                <w:color w:val="737373"/>
                <w:kern w:val="0"/>
                <w:szCs w:val="21"/>
              </w:rPr>
              <w:lastRenderedPageBreak/>
              <w:t> </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标的资产管理计划的投资范围</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 </w:t>
            </w:r>
          </w:p>
        </w:tc>
        <w:tc>
          <w:tcPr>
            <w:tcW w:w="6555" w:type="dxa"/>
            <w:tcBorders>
              <w:top w:val="nil"/>
              <w:left w:val="nil"/>
              <w:bottom w:val="single" w:sz="6" w:space="0" w:color="auto"/>
              <w:right w:val="single" w:sz="6" w:space="0" w:color="auto"/>
            </w:tcBorders>
            <w:tcMar>
              <w:top w:w="0" w:type="dxa"/>
              <w:left w:w="105" w:type="dxa"/>
              <w:bottom w:w="0" w:type="dxa"/>
              <w:right w:w="105" w:type="dxa"/>
            </w:tcMar>
            <w:hideMark/>
          </w:tcPr>
          <w:p w:rsidR="00287709" w:rsidRPr="00287709" w:rsidRDefault="00287709" w:rsidP="00287709">
            <w:pPr>
              <w:widowControl/>
              <w:spacing w:before="150" w:line="390" w:lineRule="atLeast"/>
              <w:jc w:val="left"/>
              <w:rPr>
                <w:rFonts w:ascii="宋体" w:eastAsia="宋体" w:hAnsi="宋体" w:cs="宋体"/>
                <w:color w:val="737373"/>
                <w:kern w:val="0"/>
                <w:szCs w:val="21"/>
              </w:rPr>
            </w:pPr>
            <w:r w:rsidRPr="00287709">
              <w:rPr>
                <w:rFonts w:ascii="宋体" w:eastAsia="宋体" w:hAnsi="宋体" w:cs="宋体"/>
                <w:color w:val="737373"/>
                <w:kern w:val="0"/>
                <w:szCs w:val="21"/>
              </w:rPr>
              <w:t> </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以下所称本计划、本</w:t>
            </w:r>
            <w:proofErr w:type="gramStart"/>
            <w:r w:rsidRPr="00287709">
              <w:rPr>
                <w:rFonts w:ascii="宋体" w:eastAsia="宋体" w:hAnsi="宋体" w:cs="宋体"/>
                <w:color w:val="737373"/>
                <w:kern w:val="0"/>
                <w:szCs w:val="21"/>
              </w:rPr>
              <w:t>资管计划等均指标</w:t>
            </w:r>
            <w:proofErr w:type="gramEnd"/>
            <w:r w:rsidRPr="00287709">
              <w:rPr>
                <w:rFonts w:ascii="宋体" w:eastAsia="宋体" w:hAnsi="宋体" w:cs="宋体"/>
                <w:color w:val="737373"/>
                <w:kern w:val="0"/>
                <w:szCs w:val="21"/>
              </w:rPr>
              <w:t>的资产管理计划，标的资产管理计划投资范围</w:t>
            </w:r>
            <w:proofErr w:type="gramStart"/>
            <w:r w:rsidRPr="00287709">
              <w:rPr>
                <w:rFonts w:ascii="宋体" w:eastAsia="宋体" w:hAnsi="宋体" w:cs="宋体"/>
                <w:color w:val="737373"/>
                <w:kern w:val="0"/>
                <w:szCs w:val="21"/>
              </w:rPr>
              <w:t>以资管计划</w:t>
            </w:r>
            <w:proofErr w:type="gramEnd"/>
            <w:r w:rsidRPr="00287709">
              <w:rPr>
                <w:rFonts w:ascii="宋体" w:eastAsia="宋体" w:hAnsi="宋体" w:cs="宋体"/>
                <w:color w:val="737373"/>
                <w:kern w:val="0"/>
                <w:szCs w:val="21"/>
              </w:rPr>
              <w:t>合同等法律文件为准。</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1、固定收益类及现金类资产，具体包括：国内依法发行的固定收益资产（含国债、央行票据、金融债（含次级债、混合资本债）、企业债、公司债（含非公开发行公司债）、短期融资</w:t>
            </w:r>
            <w:proofErr w:type="gramStart"/>
            <w:r w:rsidRPr="00287709">
              <w:rPr>
                <w:rFonts w:ascii="宋体" w:eastAsia="宋体" w:hAnsi="宋体" w:cs="宋体"/>
                <w:color w:val="737373"/>
                <w:kern w:val="0"/>
                <w:szCs w:val="21"/>
              </w:rPr>
              <w:t>券</w:t>
            </w:r>
            <w:proofErr w:type="gramEnd"/>
            <w:r w:rsidRPr="00287709">
              <w:rPr>
                <w:rFonts w:ascii="宋体" w:eastAsia="宋体" w:hAnsi="宋体" w:cs="宋体"/>
                <w:color w:val="737373"/>
                <w:kern w:val="0"/>
                <w:szCs w:val="21"/>
              </w:rPr>
              <w:t>、超短期融资</w:t>
            </w:r>
            <w:proofErr w:type="gramStart"/>
            <w:r w:rsidRPr="00287709">
              <w:rPr>
                <w:rFonts w:ascii="宋体" w:eastAsia="宋体" w:hAnsi="宋体" w:cs="宋体"/>
                <w:color w:val="737373"/>
                <w:kern w:val="0"/>
                <w:szCs w:val="21"/>
              </w:rPr>
              <w:t>券</w:t>
            </w:r>
            <w:proofErr w:type="gramEnd"/>
            <w:r w:rsidRPr="00287709">
              <w:rPr>
                <w:rFonts w:ascii="宋体" w:eastAsia="宋体" w:hAnsi="宋体" w:cs="宋体"/>
                <w:color w:val="737373"/>
                <w:kern w:val="0"/>
                <w:szCs w:val="21"/>
              </w:rPr>
              <w:t>、可转债、分离交易可转债、可交换债、资产支持票据（ABN）优先级、资产支持证券优先级、非公开定向债务融资工具（PPN）、中期票据、债券回购、银行存款、协议存款、大额可转让存单、同业存单、现金、货币型证券投资基金）</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2、权益类资产，具体包括：国内依法发行的股票（含二级市场股票、新股发行）、股票型基金、混合型基金。</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资产管理人可以运用委托财产投资于上述范围内资产管理人管理的基金、资产管理人的股东等关联</w:t>
            </w:r>
            <w:proofErr w:type="gramStart"/>
            <w:r w:rsidRPr="00287709">
              <w:rPr>
                <w:rFonts w:ascii="宋体" w:eastAsia="宋体" w:hAnsi="宋体" w:cs="宋体"/>
                <w:color w:val="737373"/>
                <w:kern w:val="0"/>
                <w:szCs w:val="21"/>
              </w:rPr>
              <w:t>方发行</w:t>
            </w:r>
            <w:proofErr w:type="gramEnd"/>
            <w:r w:rsidRPr="00287709">
              <w:rPr>
                <w:rFonts w:ascii="宋体" w:eastAsia="宋体" w:hAnsi="宋体" w:cs="宋体"/>
                <w:color w:val="737373"/>
                <w:kern w:val="0"/>
                <w:szCs w:val="21"/>
              </w:rPr>
              <w:t>或承销的证券（新股发行、</w:t>
            </w:r>
            <w:proofErr w:type="gramStart"/>
            <w:r w:rsidRPr="00287709">
              <w:rPr>
                <w:rFonts w:ascii="宋体" w:eastAsia="宋体" w:hAnsi="宋体" w:cs="宋体"/>
                <w:color w:val="737373"/>
                <w:kern w:val="0"/>
                <w:szCs w:val="21"/>
              </w:rPr>
              <w:t>定增除外</w:t>
            </w:r>
            <w:proofErr w:type="gramEnd"/>
            <w:r w:rsidRPr="00287709">
              <w:rPr>
                <w:rFonts w:ascii="宋体" w:eastAsia="宋体" w:hAnsi="宋体" w:cs="宋体"/>
                <w:color w:val="737373"/>
                <w:kern w:val="0"/>
                <w:szCs w:val="21"/>
              </w:rPr>
              <w:t>），但该种投资行为应按照市场通行的方式和条件参与，公平对待委托财产。</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 </w:t>
            </w:r>
          </w:p>
        </w:tc>
      </w:tr>
      <w:tr w:rsidR="00287709" w:rsidRPr="00287709" w:rsidTr="00287709">
        <w:trPr>
          <w:trHeight w:val="705"/>
        </w:trPr>
        <w:tc>
          <w:tcPr>
            <w:tcW w:w="1860" w:type="dxa"/>
            <w:tcBorders>
              <w:top w:val="nil"/>
              <w:left w:val="single" w:sz="6" w:space="0" w:color="auto"/>
              <w:bottom w:val="single" w:sz="6" w:space="0" w:color="auto"/>
              <w:right w:val="single" w:sz="6" w:space="0" w:color="auto"/>
            </w:tcBorders>
            <w:tcMar>
              <w:top w:w="0" w:type="dxa"/>
              <w:left w:w="105" w:type="dxa"/>
              <w:bottom w:w="0" w:type="dxa"/>
              <w:right w:w="105" w:type="dxa"/>
            </w:tcMar>
            <w:hideMark/>
          </w:tcPr>
          <w:p w:rsidR="00287709" w:rsidRPr="00287709" w:rsidRDefault="00287709" w:rsidP="00287709">
            <w:pPr>
              <w:widowControl/>
              <w:spacing w:before="150" w:line="390" w:lineRule="atLeast"/>
              <w:jc w:val="left"/>
              <w:rPr>
                <w:rFonts w:ascii="宋体" w:eastAsia="宋体" w:hAnsi="宋体" w:cs="宋体"/>
                <w:color w:val="737373"/>
                <w:kern w:val="0"/>
                <w:szCs w:val="21"/>
              </w:rPr>
            </w:pPr>
            <w:r w:rsidRPr="00287709">
              <w:rPr>
                <w:rFonts w:ascii="宋体" w:eastAsia="宋体" w:hAnsi="宋体" w:cs="宋体"/>
                <w:color w:val="737373"/>
                <w:kern w:val="0"/>
                <w:szCs w:val="21"/>
              </w:rPr>
              <w:t> </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标的资产管理计划的投资比例</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 </w:t>
            </w:r>
          </w:p>
        </w:tc>
        <w:tc>
          <w:tcPr>
            <w:tcW w:w="6555" w:type="dxa"/>
            <w:tcBorders>
              <w:top w:val="nil"/>
              <w:left w:val="nil"/>
              <w:bottom w:val="single" w:sz="6" w:space="0" w:color="auto"/>
              <w:right w:val="single" w:sz="6" w:space="0" w:color="auto"/>
            </w:tcBorders>
            <w:tcMar>
              <w:top w:w="0" w:type="dxa"/>
              <w:left w:w="105" w:type="dxa"/>
              <w:bottom w:w="0" w:type="dxa"/>
              <w:right w:w="105" w:type="dxa"/>
            </w:tcMar>
            <w:hideMark/>
          </w:tcPr>
          <w:p w:rsidR="00287709" w:rsidRPr="00287709" w:rsidRDefault="00287709" w:rsidP="00287709">
            <w:pPr>
              <w:widowControl/>
              <w:spacing w:before="150" w:line="390" w:lineRule="atLeast"/>
              <w:jc w:val="left"/>
              <w:rPr>
                <w:rFonts w:ascii="宋体" w:eastAsia="宋体" w:hAnsi="宋体" w:cs="宋体"/>
                <w:color w:val="737373"/>
                <w:kern w:val="0"/>
                <w:szCs w:val="21"/>
              </w:rPr>
            </w:pPr>
            <w:r w:rsidRPr="00287709">
              <w:rPr>
                <w:rFonts w:ascii="宋体" w:eastAsia="宋体" w:hAnsi="宋体" w:cs="宋体"/>
                <w:color w:val="737373"/>
                <w:kern w:val="0"/>
                <w:szCs w:val="21"/>
              </w:rPr>
              <w:t> </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以下所称本计划、本</w:t>
            </w:r>
            <w:proofErr w:type="gramStart"/>
            <w:r w:rsidRPr="00287709">
              <w:rPr>
                <w:rFonts w:ascii="宋体" w:eastAsia="宋体" w:hAnsi="宋体" w:cs="宋体"/>
                <w:color w:val="737373"/>
                <w:kern w:val="0"/>
                <w:szCs w:val="21"/>
              </w:rPr>
              <w:t>资管计划等均指标</w:t>
            </w:r>
            <w:proofErr w:type="gramEnd"/>
            <w:r w:rsidRPr="00287709">
              <w:rPr>
                <w:rFonts w:ascii="宋体" w:eastAsia="宋体" w:hAnsi="宋体" w:cs="宋体"/>
                <w:color w:val="737373"/>
                <w:kern w:val="0"/>
                <w:szCs w:val="21"/>
              </w:rPr>
              <w:t>的资产管理计划，标的资产管理计划投资比例</w:t>
            </w:r>
            <w:proofErr w:type="gramStart"/>
            <w:r w:rsidRPr="00287709">
              <w:rPr>
                <w:rFonts w:ascii="宋体" w:eastAsia="宋体" w:hAnsi="宋体" w:cs="宋体"/>
                <w:color w:val="737373"/>
                <w:kern w:val="0"/>
                <w:szCs w:val="21"/>
              </w:rPr>
              <w:t>以资管计划</w:t>
            </w:r>
            <w:proofErr w:type="gramEnd"/>
            <w:r w:rsidRPr="00287709">
              <w:rPr>
                <w:rFonts w:ascii="宋体" w:eastAsia="宋体" w:hAnsi="宋体" w:cs="宋体"/>
                <w:color w:val="737373"/>
                <w:kern w:val="0"/>
                <w:szCs w:val="21"/>
              </w:rPr>
              <w:t>合同等法律文件为准。</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本计划投资于存款、债券等债权类资产不低于本计划总资产的80%，为固定收益类资产管理产品。</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lastRenderedPageBreak/>
              <w:t> </w:t>
            </w:r>
          </w:p>
        </w:tc>
      </w:tr>
      <w:tr w:rsidR="00287709" w:rsidRPr="00287709" w:rsidTr="00287709">
        <w:trPr>
          <w:trHeight w:val="705"/>
        </w:trPr>
        <w:tc>
          <w:tcPr>
            <w:tcW w:w="1860" w:type="dxa"/>
            <w:tcBorders>
              <w:top w:val="nil"/>
              <w:left w:val="single" w:sz="6" w:space="0" w:color="auto"/>
              <w:bottom w:val="single" w:sz="6" w:space="0" w:color="auto"/>
              <w:right w:val="single" w:sz="6" w:space="0" w:color="auto"/>
            </w:tcBorders>
            <w:tcMar>
              <w:top w:w="0" w:type="dxa"/>
              <w:left w:w="105" w:type="dxa"/>
              <w:bottom w:w="0" w:type="dxa"/>
              <w:right w:w="105" w:type="dxa"/>
            </w:tcMar>
            <w:hideMark/>
          </w:tcPr>
          <w:p w:rsidR="00287709" w:rsidRPr="00287709" w:rsidRDefault="00287709" w:rsidP="00287709">
            <w:pPr>
              <w:widowControl/>
              <w:spacing w:before="150" w:line="390" w:lineRule="atLeast"/>
              <w:jc w:val="left"/>
              <w:rPr>
                <w:rFonts w:ascii="宋体" w:eastAsia="宋体" w:hAnsi="宋体" w:cs="宋体"/>
                <w:color w:val="737373"/>
                <w:kern w:val="0"/>
                <w:szCs w:val="21"/>
              </w:rPr>
            </w:pPr>
            <w:r w:rsidRPr="00287709">
              <w:rPr>
                <w:rFonts w:ascii="宋体" w:eastAsia="宋体" w:hAnsi="宋体" w:cs="宋体"/>
                <w:color w:val="737373"/>
                <w:kern w:val="0"/>
                <w:szCs w:val="21"/>
              </w:rPr>
              <w:lastRenderedPageBreak/>
              <w:t> </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标的资产管理计划的投资限制</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 </w:t>
            </w:r>
          </w:p>
        </w:tc>
        <w:tc>
          <w:tcPr>
            <w:tcW w:w="6555" w:type="dxa"/>
            <w:tcBorders>
              <w:top w:val="nil"/>
              <w:left w:val="nil"/>
              <w:bottom w:val="single" w:sz="6" w:space="0" w:color="auto"/>
              <w:right w:val="single" w:sz="6" w:space="0" w:color="auto"/>
            </w:tcBorders>
            <w:tcMar>
              <w:top w:w="0" w:type="dxa"/>
              <w:left w:w="105" w:type="dxa"/>
              <w:bottom w:w="0" w:type="dxa"/>
              <w:right w:w="105" w:type="dxa"/>
            </w:tcMar>
            <w:hideMark/>
          </w:tcPr>
          <w:p w:rsidR="00287709" w:rsidRPr="00287709" w:rsidRDefault="00287709" w:rsidP="00287709">
            <w:pPr>
              <w:widowControl/>
              <w:spacing w:before="150" w:line="390" w:lineRule="atLeast"/>
              <w:jc w:val="left"/>
              <w:rPr>
                <w:rFonts w:ascii="宋体" w:eastAsia="宋体" w:hAnsi="宋体" w:cs="宋体"/>
                <w:color w:val="737373"/>
                <w:kern w:val="0"/>
                <w:szCs w:val="21"/>
              </w:rPr>
            </w:pPr>
            <w:r w:rsidRPr="00287709">
              <w:rPr>
                <w:rFonts w:ascii="宋体" w:eastAsia="宋体" w:hAnsi="宋体" w:cs="宋体"/>
                <w:color w:val="737373"/>
                <w:kern w:val="0"/>
                <w:szCs w:val="21"/>
              </w:rPr>
              <w:t> </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以下所称本计划、本</w:t>
            </w:r>
            <w:proofErr w:type="gramStart"/>
            <w:r w:rsidRPr="00287709">
              <w:rPr>
                <w:rFonts w:ascii="宋体" w:eastAsia="宋体" w:hAnsi="宋体" w:cs="宋体"/>
                <w:color w:val="737373"/>
                <w:kern w:val="0"/>
                <w:szCs w:val="21"/>
              </w:rPr>
              <w:t>资管计划等均指标</w:t>
            </w:r>
            <w:proofErr w:type="gramEnd"/>
            <w:r w:rsidRPr="00287709">
              <w:rPr>
                <w:rFonts w:ascii="宋体" w:eastAsia="宋体" w:hAnsi="宋体" w:cs="宋体"/>
                <w:color w:val="737373"/>
                <w:kern w:val="0"/>
                <w:szCs w:val="21"/>
              </w:rPr>
              <w:t>的资产管理计划，标的资产管理计划投资限制</w:t>
            </w:r>
            <w:proofErr w:type="gramStart"/>
            <w:r w:rsidRPr="00287709">
              <w:rPr>
                <w:rFonts w:ascii="宋体" w:eastAsia="宋体" w:hAnsi="宋体" w:cs="宋体"/>
                <w:color w:val="737373"/>
                <w:kern w:val="0"/>
                <w:szCs w:val="21"/>
              </w:rPr>
              <w:t>以资管计划</w:t>
            </w:r>
            <w:proofErr w:type="gramEnd"/>
            <w:r w:rsidRPr="00287709">
              <w:rPr>
                <w:rFonts w:ascii="宋体" w:eastAsia="宋体" w:hAnsi="宋体" w:cs="宋体"/>
                <w:color w:val="737373"/>
                <w:kern w:val="0"/>
                <w:szCs w:val="21"/>
              </w:rPr>
              <w:t>合同等法律文件为准。</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1、固定收益类及现金类资产占组合资产总值的比例为80%～100%。本计划投资债券的债项评级必须为AA及以上（可转债、可交换债、短期融资</w:t>
            </w:r>
            <w:proofErr w:type="gramStart"/>
            <w:r w:rsidRPr="00287709">
              <w:rPr>
                <w:rFonts w:ascii="宋体" w:eastAsia="宋体" w:hAnsi="宋体" w:cs="宋体"/>
                <w:color w:val="737373"/>
                <w:kern w:val="0"/>
                <w:szCs w:val="21"/>
              </w:rPr>
              <w:t>券</w:t>
            </w:r>
            <w:proofErr w:type="gramEnd"/>
            <w:r w:rsidRPr="00287709">
              <w:rPr>
                <w:rFonts w:ascii="宋体" w:eastAsia="宋体" w:hAnsi="宋体" w:cs="宋体"/>
                <w:color w:val="737373"/>
                <w:kern w:val="0"/>
                <w:szCs w:val="21"/>
              </w:rPr>
              <w:t>、超短期融资</w:t>
            </w:r>
            <w:proofErr w:type="gramStart"/>
            <w:r w:rsidRPr="00287709">
              <w:rPr>
                <w:rFonts w:ascii="宋体" w:eastAsia="宋体" w:hAnsi="宋体" w:cs="宋体"/>
                <w:color w:val="737373"/>
                <w:kern w:val="0"/>
                <w:szCs w:val="21"/>
              </w:rPr>
              <w:t>券</w:t>
            </w:r>
            <w:proofErr w:type="gramEnd"/>
            <w:r w:rsidRPr="00287709">
              <w:rPr>
                <w:rFonts w:ascii="宋体" w:eastAsia="宋体" w:hAnsi="宋体" w:cs="宋体"/>
                <w:color w:val="737373"/>
                <w:kern w:val="0"/>
                <w:szCs w:val="21"/>
              </w:rPr>
              <w:t>除外），无债项评级的，以主体评级为准。</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2、短期融资</w:t>
            </w:r>
            <w:proofErr w:type="gramStart"/>
            <w:r w:rsidRPr="00287709">
              <w:rPr>
                <w:rFonts w:ascii="宋体" w:eastAsia="宋体" w:hAnsi="宋体" w:cs="宋体"/>
                <w:color w:val="737373"/>
                <w:kern w:val="0"/>
                <w:szCs w:val="21"/>
              </w:rPr>
              <w:t>券</w:t>
            </w:r>
            <w:proofErr w:type="gramEnd"/>
            <w:r w:rsidRPr="00287709">
              <w:rPr>
                <w:rFonts w:ascii="宋体" w:eastAsia="宋体" w:hAnsi="宋体" w:cs="宋体"/>
                <w:color w:val="737373"/>
                <w:kern w:val="0"/>
                <w:szCs w:val="21"/>
              </w:rPr>
              <w:t>、超短期融资</w:t>
            </w:r>
            <w:proofErr w:type="gramStart"/>
            <w:r w:rsidRPr="00287709">
              <w:rPr>
                <w:rFonts w:ascii="宋体" w:eastAsia="宋体" w:hAnsi="宋体" w:cs="宋体"/>
                <w:color w:val="737373"/>
                <w:kern w:val="0"/>
                <w:szCs w:val="21"/>
              </w:rPr>
              <w:t>券</w:t>
            </w:r>
            <w:proofErr w:type="gramEnd"/>
            <w:r w:rsidRPr="00287709">
              <w:rPr>
                <w:rFonts w:ascii="宋体" w:eastAsia="宋体" w:hAnsi="宋体" w:cs="宋体"/>
                <w:color w:val="737373"/>
                <w:kern w:val="0"/>
                <w:szCs w:val="21"/>
              </w:rPr>
              <w:t>债项评级为A-1级（如无债项评级的,主体评级不得低于AA）及以上。</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3、股票等权益类资产占组合资产净值的比例不超过19.9%。</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4、当组合规模低于5亿元时，本计划投资于单一主体发行的所有债券的投资比例不超过计划资产总值的15%；当组合规模不低于5亿元（含）时，本计划投资于单一主体发行的所有债券的投资比例不超过计划资产总值的10%。本计划投资于单只债券的比例不得超过该债券发行规模的10%。本计划投资于单只债券的比例不得超过计划资产总值的10%。</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5、所有非公开、私募发行品种债券占组合资产总值的比例为0%～40%。</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6、本计划的总资产不得超过净资产的160%。</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7、民企债投资标准：本计划投资债券主体如为民营企业，债项评级必须为AA+及以上（可转债、可交换债、短期融资</w:t>
            </w:r>
            <w:proofErr w:type="gramStart"/>
            <w:r w:rsidRPr="00287709">
              <w:rPr>
                <w:rFonts w:ascii="宋体" w:eastAsia="宋体" w:hAnsi="宋体" w:cs="宋体"/>
                <w:color w:val="737373"/>
                <w:kern w:val="0"/>
                <w:szCs w:val="21"/>
              </w:rPr>
              <w:t>券</w:t>
            </w:r>
            <w:proofErr w:type="gramEnd"/>
            <w:r w:rsidRPr="00287709">
              <w:rPr>
                <w:rFonts w:ascii="宋体" w:eastAsia="宋体" w:hAnsi="宋体" w:cs="宋体"/>
                <w:color w:val="737373"/>
                <w:kern w:val="0"/>
                <w:szCs w:val="21"/>
              </w:rPr>
              <w:t>、超短期融资</w:t>
            </w:r>
            <w:proofErr w:type="gramStart"/>
            <w:r w:rsidRPr="00287709">
              <w:rPr>
                <w:rFonts w:ascii="宋体" w:eastAsia="宋体" w:hAnsi="宋体" w:cs="宋体"/>
                <w:color w:val="737373"/>
                <w:kern w:val="0"/>
                <w:szCs w:val="21"/>
              </w:rPr>
              <w:t>券</w:t>
            </w:r>
            <w:proofErr w:type="gramEnd"/>
            <w:r w:rsidRPr="00287709">
              <w:rPr>
                <w:rFonts w:ascii="宋体" w:eastAsia="宋体" w:hAnsi="宋体" w:cs="宋体"/>
                <w:color w:val="737373"/>
                <w:kern w:val="0"/>
                <w:szCs w:val="21"/>
              </w:rPr>
              <w:t>除外），无债项评级的，以主体评级为准，民企债投资比例不超过总资产30%。</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8、AA+以下债券投资比例不超过计划资产总值的40%。</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9、资产支持证券仅投资于优先级份额，投资比例不超过计划资产总值的20%，信用等级评级不低于AA+。</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10、单只固定收益类资产的投资比例不超过计划资产净值的25%。</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lastRenderedPageBreak/>
              <w:t>11、本计划单位累计净值未超过1.04元时，股票等权益类资产投资比例不高于资产净值的10%，当组合单位累计净值超过1.04元时，股票等权益类资产投资比例不高于资产净值的19.9%。</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12、当组合规模低于10亿元时，单只股票的投资比例按成本计算不超过计划资产净值的2%；当组合规模不低于10亿元时，单只股票的投资比例按成本计算不超过计划资产净值的1%。</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13、投资于同一行业股票的比例不得超过计划资产净值的5%（银行业除外，行业按照申银万国</w:t>
            </w:r>
            <w:proofErr w:type="gramStart"/>
            <w:r w:rsidRPr="00287709">
              <w:rPr>
                <w:rFonts w:ascii="宋体" w:eastAsia="宋体" w:hAnsi="宋体" w:cs="宋体"/>
                <w:color w:val="737373"/>
                <w:kern w:val="0"/>
                <w:szCs w:val="21"/>
              </w:rPr>
              <w:t>一级行业</w:t>
            </w:r>
            <w:proofErr w:type="gramEnd"/>
            <w:r w:rsidRPr="00287709">
              <w:rPr>
                <w:rFonts w:ascii="宋体" w:eastAsia="宋体" w:hAnsi="宋体" w:cs="宋体"/>
                <w:color w:val="737373"/>
                <w:kern w:val="0"/>
                <w:szCs w:val="21"/>
              </w:rPr>
              <w:t>分类标准进行控制）。</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14、投资于同一公募股票型基金、混合型基金，投资比例按成本计算不超过计划资产净值的5%。</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15、单只货币基金投资比例不超过计划资产净值的25%。</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16、可交换债和可转债投资比例不超过计划资产总值的5%。</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17、本计划债券部分</w:t>
            </w:r>
            <w:proofErr w:type="gramStart"/>
            <w:r w:rsidRPr="00287709">
              <w:rPr>
                <w:rFonts w:ascii="宋体" w:eastAsia="宋体" w:hAnsi="宋体" w:cs="宋体"/>
                <w:color w:val="737373"/>
                <w:kern w:val="0"/>
                <w:szCs w:val="21"/>
              </w:rPr>
              <w:t>个券</w:t>
            </w:r>
            <w:proofErr w:type="gramEnd"/>
            <w:r w:rsidRPr="00287709">
              <w:rPr>
                <w:rFonts w:ascii="宋体" w:eastAsia="宋体" w:hAnsi="宋体" w:cs="宋体"/>
                <w:color w:val="737373"/>
                <w:kern w:val="0"/>
                <w:szCs w:val="21"/>
              </w:rPr>
              <w:t>平均</w:t>
            </w:r>
            <w:proofErr w:type="gramStart"/>
            <w:r w:rsidRPr="00287709">
              <w:rPr>
                <w:rFonts w:ascii="宋体" w:eastAsia="宋体" w:hAnsi="宋体" w:cs="宋体"/>
                <w:color w:val="737373"/>
                <w:kern w:val="0"/>
                <w:szCs w:val="21"/>
              </w:rPr>
              <w:t>组合久期不</w:t>
            </w:r>
            <w:proofErr w:type="gramEnd"/>
            <w:r w:rsidRPr="00287709">
              <w:rPr>
                <w:rFonts w:ascii="宋体" w:eastAsia="宋体" w:hAnsi="宋体" w:cs="宋体"/>
                <w:color w:val="737373"/>
                <w:kern w:val="0"/>
                <w:szCs w:val="21"/>
              </w:rPr>
              <w:t>超过2.5年。单</w:t>
            </w:r>
            <w:proofErr w:type="gramStart"/>
            <w:r w:rsidRPr="00287709">
              <w:rPr>
                <w:rFonts w:ascii="宋体" w:eastAsia="宋体" w:hAnsi="宋体" w:cs="宋体"/>
                <w:color w:val="737373"/>
                <w:kern w:val="0"/>
                <w:szCs w:val="21"/>
              </w:rPr>
              <w:t>券</w:t>
            </w:r>
            <w:proofErr w:type="gramEnd"/>
            <w:r w:rsidRPr="00287709">
              <w:rPr>
                <w:rFonts w:ascii="宋体" w:eastAsia="宋体" w:hAnsi="宋体" w:cs="宋体"/>
                <w:color w:val="737373"/>
                <w:kern w:val="0"/>
                <w:szCs w:val="21"/>
              </w:rPr>
              <w:t>最长久期不超过3.5年（利率债除外）。</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18、本计划投资于同一资产的资金，不得超过计划资产净值的25%。管理人管理的全部集合资</w:t>
            </w:r>
            <w:proofErr w:type="gramStart"/>
            <w:r w:rsidRPr="00287709">
              <w:rPr>
                <w:rFonts w:ascii="宋体" w:eastAsia="宋体" w:hAnsi="宋体" w:cs="宋体"/>
                <w:color w:val="737373"/>
                <w:kern w:val="0"/>
                <w:szCs w:val="21"/>
              </w:rPr>
              <w:t>管计划</w:t>
            </w:r>
            <w:proofErr w:type="gramEnd"/>
            <w:r w:rsidRPr="00287709">
              <w:rPr>
                <w:rFonts w:ascii="宋体" w:eastAsia="宋体" w:hAnsi="宋体" w:cs="宋体"/>
                <w:color w:val="737373"/>
                <w:kern w:val="0"/>
                <w:szCs w:val="21"/>
              </w:rPr>
              <w:t>投资于同一资产的资金，不得超过该资产的25%。银行活期存款、国债、中央银行票据、政策性金融债、地方政府债券等中国证监会认可的投资品种除外。</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19、法律法规、中国证监会以及本合同规定的其他投资限制。</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因证券期货市场波动、证券发行人合并、资产管理计划规模变动等资产管理人之外的因素导致资产管理计划投资不符合法律法规和中国证监会规定的投资比例或者合同约定的投资比例的，资产管理人应当在流动性受限资产可出售、可转让或者恢复交易的十五个交易日内调整至符合相关要求。确有特殊事由未能在规定时间内完成调整的，资产管理人应当及时向中国证监会相关派出机构和证券投资基金业协会报告。</w:t>
            </w:r>
          </w:p>
          <w:p w:rsidR="00287709" w:rsidRPr="00287709" w:rsidRDefault="00287709" w:rsidP="00287709">
            <w:pPr>
              <w:widowControl/>
              <w:spacing w:before="150" w:line="390" w:lineRule="atLeast"/>
              <w:ind w:firstLine="480"/>
              <w:jc w:val="left"/>
              <w:rPr>
                <w:rFonts w:ascii="宋体" w:eastAsia="宋体" w:hAnsi="宋体" w:cs="宋体"/>
                <w:color w:val="737373"/>
                <w:kern w:val="0"/>
                <w:szCs w:val="21"/>
              </w:rPr>
            </w:pPr>
            <w:r w:rsidRPr="00287709">
              <w:rPr>
                <w:rFonts w:ascii="宋体" w:eastAsia="宋体" w:hAnsi="宋体" w:cs="宋体"/>
                <w:color w:val="737373"/>
                <w:kern w:val="0"/>
                <w:szCs w:val="21"/>
              </w:rPr>
              <w:t> </w:t>
            </w:r>
          </w:p>
        </w:tc>
      </w:tr>
    </w:tbl>
    <w:p w:rsidR="00287709" w:rsidRPr="00287709" w:rsidRDefault="00287709" w:rsidP="00287709">
      <w:pPr>
        <w:widowControl/>
        <w:spacing w:line="390" w:lineRule="atLeast"/>
        <w:ind w:firstLine="480"/>
        <w:jc w:val="center"/>
        <w:rPr>
          <w:rFonts w:ascii="微软雅黑" w:eastAsia="微软雅黑" w:hAnsi="微软雅黑" w:cs="宋体" w:hint="eastAsia"/>
          <w:color w:val="737373"/>
          <w:kern w:val="0"/>
          <w:szCs w:val="21"/>
        </w:rPr>
      </w:pPr>
      <w:r w:rsidRPr="00287709">
        <w:rPr>
          <w:rFonts w:ascii="微软雅黑" w:eastAsia="微软雅黑" w:hAnsi="微软雅黑" w:cs="宋体" w:hint="eastAsia"/>
          <w:b/>
          <w:bCs/>
          <w:color w:val="737373"/>
          <w:kern w:val="0"/>
          <w:szCs w:val="21"/>
        </w:rPr>
        <w:lastRenderedPageBreak/>
        <w:t>免责声明: 此文件不作为面向非特定投资者的公开宣传推介资料使用，该产品仅面向特定合格投资者。</w:t>
      </w:r>
    </w:p>
    <w:p w:rsidR="00287709" w:rsidRPr="00287709" w:rsidRDefault="00287709" w:rsidP="00287709">
      <w:pPr>
        <w:widowControl/>
        <w:spacing w:before="150" w:line="390" w:lineRule="atLeast"/>
        <w:jc w:val="left"/>
        <w:rPr>
          <w:rFonts w:ascii="微软雅黑" w:eastAsia="微软雅黑" w:hAnsi="微软雅黑" w:cs="宋体" w:hint="eastAsia"/>
          <w:color w:val="737373"/>
          <w:kern w:val="0"/>
          <w:szCs w:val="21"/>
        </w:rPr>
      </w:pPr>
      <w:r w:rsidRPr="00287709">
        <w:rPr>
          <w:rFonts w:ascii="微软雅黑" w:eastAsia="微软雅黑" w:hAnsi="微软雅黑" w:cs="宋体" w:hint="eastAsia"/>
          <w:color w:val="737373"/>
          <w:kern w:val="0"/>
          <w:szCs w:val="21"/>
        </w:rPr>
        <w:lastRenderedPageBreak/>
        <w:t> </w:t>
      </w:r>
    </w:p>
    <w:p w:rsidR="00287709" w:rsidRPr="00287709" w:rsidRDefault="00287709" w:rsidP="00287709">
      <w:pPr>
        <w:widowControl/>
        <w:spacing w:before="150" w:line="390" w:lineRule="atLeast"/>
        <w:ind w:firstLine="480"/>
        <w:jc w:val="right"/>
        <w:rPr>
          <w:rFonts w:ascii="微软雅黑" w:eastAsia="微软雅黑" w:hAnsi="微软雅黑" w:cs="宋体" w:hint="eastAsia"/>
          <w:color w:val="737373"/>
          <w:kern w:val="0"/>
          <w:szCs w:val="21"/>
        </w:rPr>
      </w:pPr>
      <w:r w:rsidRPr="00287709">
        <w:rPr>
          <w:rFonts w:ascii="微软雅黑" w:eastAsia="微软雅黑" w:hAnsi="微软雅黑" w:cs="宋体" w:hint="eastAsia"/>
          <w:color w:val="737373"/>
          <w:kern w:val="0"/>
          <w:szCs w:val="21"/>
        </w:rPr>
        <w:t>受托人：中国对外经济贸易信托有限公司（盖章）</w:t>
      </w:r>
    </w:p>
    <w:p w:rsidR="00287709" w:rsidRPr="00287709" w:rsidRDefault="00287709" w:rsidP="00287709">
      <w:pPr>
        <w:widowControl/>
        <w:spacing w:before="150" w:line="390" w:lineRule="atLeast"/>
        <w:ind w:firstLine="480"/>
        <w:jc w:val="right"/>
        <w:rPr>
          <w:rFonts w:ascii="微软雅黑" w:eastAsia="微软雅黑" w:hAnsi="微软雅黑" w:cs="宋体" w:hint="eastAsia"/>
          <w:color w:val="737373"/>
          <w:kern w:val="0"/>
          <w:szCs w:val="21"/>
        </w:rPr>
      </w:pPr>
      <w:r w:rsidRPr="00287709">
        <w:rPr>
          <w:rFonts w:ascii="微软雅黑" w:eastAsia="微软雅黑" w:hAnsi="微软雅黑" w:cs="宋体" w:hint="eastAsia"/>
          <w:color w:val="737373"/>
          <w:kern w:val="0"/>
          <w:szCs w:val="21"/>
        </w:rPr>
        <w:t>2019年9月24日</w:t>
      </w:r>
    </w:p>
    <w:p w:rsidR="00287709" w:rsidRPr="00287709" w:rsidRDefault="00287709" w:rsidP="00287709">
      <w:pPr>
        <w:widowControl/>
        <w:spacing w:before="150" w:line="390" w:lineRule="atLeast"/>
        <w:jc w:val="center"/>
        <w:rPr>
          <w:rFonts w:ascii="微软雅黑" w:eastAsia="微软雅黑" w:hAnsi="微软雅黑" w:cs="宋体" w:hint="eastAsia"/>
          <w:color w:val="737373"/>
          <w:kern w:val="0"/>
          <w:szCs w:val="21"/>
        </w:rPr>
      </w:pPr>
      <w:r w:rsidRPr="00287709">
        <w:rPr>
          <w:rFonts w:ascii="微软雅黑" w:eastAsia="微软雅黑" w:hAnsi="微软雅黑" w:cs="宋体" w:hint="eastAsia"/>
          <w:color w:val="737373"/>
          <w:kern w:val="0"/>
          <w:szCs w:val="21"/>
        </w:rPr>
        <w:t> </w:t>
      </w:r>
    </w:p>
    <w:p w:rsidR="00287709" w:rsidRPr="00287709" w:rsidRDefault="00287709" w:rsidP="00287709">
      <w:pPr>
        <w:widowControl/>
        <w:spacing w:before="150" w:line="390" w:lineRule="atLeast"/>
        <w:jc w:val="left"/>
        <w:rPr>
          <w:rFonts w:ascii="微软雅黑" w:eastAsia="微软雅黑" w:hAnsi="微软雅黑" w:cs="宋体" w:hint="eastAsia"/>
          <w:color w:val="737373"/>
          <w:kern w:val="0"/>
          <w:szCs w:val="21"/>
        </w:rPr>
      </w:pPr>
      <w:r w:rsidRPr="00287709">
        <w:rPr>
          <w:rFonts w:ascii="微软雅黑" w:eastAsia="微软雅黑" w:hAnsi="微软雅黑" w:cs="宋体" w:hint="eastAsia"/>
          <w:color w:val="737373"/>
          <w:kern w:val="0"/>
          <w:szCs w:val="21"/>
        </w:rPr>
        <w:t> </w:t>
      </w:r>
    </w:p>
    <w:p w:rsidR="003C4DDA" w:rsidRDefault="003C4DDA">
      <w:bookmarkStart w:id="0" w:name="_GoBack"/>
      <w:bookmarkEnd w:id="0"/>
    </w:p>
    <w:sectPr w:rsidR="003C4DD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4050" w:rsidRDefault="00EE4050" w:rsidP="00287709">
      <w:r>
        <w:separator/>
      </w:r>
    </w:p>
  </w:endnote>
  <w:endnote w:type="continuationSeparator" w:id="0">
    <w:p w:rsidR="00EE4050" w:rsidRDefault="00EE4050" w:rsidP="002877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4050" w:rsidRDefault="00EE4050" w:rsidP="00287709">
      <w:r>
        <w:separator/>
      </w:r>
    </w:p>
  </w:footnote>
  <w:footnote w:type="continuationSeparator" w:id="0">
    <w:p w:rsidR="00EE4050" w:rsidRDefault="00EE4050" w:rsidP="002877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6253"/>
    <w:rsid w:val="00287709"/>
    <w:rsid w:val="003C4DDA"/>
    <w:rsid w:val="00EE4050"/>
    <w:rsid w:val="00F862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287709"/>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8770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87709"/>
    <w:rPr>
      <w:sz w:val="18"/>
      <w:szCs w:val="18"/>
    </w:rPr>
  </w:style>
  <w:style w:type="paragraph" w:styleId="a4">
    <w:name w:val="footer"/>
    <w:basedOn w:val="a"/>
    <w:link w:val="Char0"/>
    <w:uiPriority w:val="99"/>
    <w:unhideWhenUsed/>
    <w:rsid w:val="00287709"/>
    <w:pPr>
      <w:tabs>
        <w:tab w:val="center" w:pos="4153"/>
        <w:tab w:val="right" w:pos="8306"/>
      </w:tabs>
      <w:snapToGrid w:val="0"/>
      <w:jc w:val="left"/>
    </w:pPr>
    <w:rPr>
      <w:sz w:val="18"/>
      <w:szCs w:val="18"/>
    </w:rPr>
  </w:style>
  <w:style w:type="character" w:customStyle="1" w:styleId="Char0">
    <w:name w:val="页脚 Char"/>
    <w:basedOn w:val="a0"/>
    <w:link w:val="a4"/>
    <w:uiPriority w:val="99"/>
    <w:rsid w:val="00287709"/>
    <w:rPr>
      <w:sz w:val="18"/>
      <w:szCs w:val="18"/>
    </w:rPr>
  </w:style>
  <w:style w:type="character" w:customStyle="1" w:styleId="1Char">
    <w:name w:val="标题 1 Char"/>
    <w:basedOn w:val="a0"/>
    <w:link w:val="1"/>
    <w:uiPriority w:val="9"/>
    <w:rsid w:val="00287709"/>
    <w:rPr>
      <w:rFonts w:ascii="宋体" w:eastAsia="宋体" w:hAnsi="宋体" w:cs="宋体"/>
      <w:b/>
      <w:bCs/>
      <w:kern w:val="36"/>
      <w:sz w:val="48"/>
      <w:szCs w:val="48"/>
    </w:rPr>
  </w:style>
  <w:style w:type="character" w:customStyle="1" w:styleId="news-sum">
    <w:name w:val="news-sum"/>
    <w:basedOn w:val="a0"/>
    <w:rsid w:val="00287709"/>
  </w:style>
  <w:style w:type="paragraph" w:customStyle="1" w:styleId="indent">
    <w:name w:val="indent"/>
    <w:basedOn w:val="a"/>
    <w:rsid w:val="00287709"/>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287709"/>
    <w:rPr>
      <w:b/>
      <w:bCs/>
    </w:rPr>
  </w:style>
  <w:style w:type="paragraph" w:styleId="a6">
    <w:name w:val="Normal (Web)"/>
    <w:basedOn w:val="a"/>
    <w:uiPriority w:val="99"/>
    <w:semiHidden/>
    <w:unhideWhenUsed/>
    <w:rsid w:val="00287709"/>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287709"/>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8770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87709"/>
    <w:rPr>
      <w:sz w:val="18"/>
      <w:szCs w:val="18"/>
    </w:rPr>
  </w:style>
  <w:style w:type="paragraph" w:styleId="a4">
    <w:name w:val="footer"/>
    <w:basedOn w:val="a"/>
    <w:link w:val="Char0"/>
    <w:uiPriority w:val="99"/>
    <w:unhideWhenUsed/>
    <w:rsid w:val="00287709"/>
    <w:pPr>
      <w:tabs>
        <w:tab w:val="center" w:pos="4153"/>
        <w:tab w:val="right" w:pos="8306"/>
      </w:tabs>
      <w:snapToGrid w:val="0"/>
      <w:jc w:val="left"/>
    </w:pPr>
    <w:rPr>
      <w:sz w:val="18"/>
      <w:szCs w:val="18"/>
    </w:rPr>
  </w:style>
  <w:style w:type="character" w:customStyle="1" w:styleId="Char0">
    <w:name w:val="页脚 Char"/>
    <w:basedOn w:val="a0"/>
    <w:link w:val="a4"/>
    <w:uiPriority w:val="99"/>
    <w:rsid w:val="00287709"/>
    <w:rPr>
      <w:sz w:val="18"/>
      <w:szCs w:val="18"/>
    </w:rPr>
  </w:style>
  <w:style w:type="character" w:customStyle="1" w:styleId="1Char">
    <w:name w:val="标题 1 Char"/>
    <w:basedOn w:val="a0"/>
    <w:link w:val="1"/>
    <w:uiPriority w:val="9"/>
    <w:rsid w:val="00287709"/>
    <w:rPr>
      <w:rFonts w:ascii="宋体" w:eastAsia="宋体" w:hAnsi="宋体" w:cs="宋体"/>
      <w:b/>
      <w:bCs/>
      <w:kern w:val="36"/>
      <w:sz w:val="48"/>
      <w:szCs w:val="48"/>
    </w:rPr>
  </w:style>
  <w:style w:type="character" w:customStyle="1" w:styleId="news-sum">
    <w:name w:val="news-sum"/>
    <w:basedOn w:val="a0"/>
    <w:rsid w:val="00287709"/>
  </w:style>
  <w:style w:type="paragraph" w:customStyle="1" w:styleId="indent">
    <w:name w:val="indent"/>
    <w:basedOn w:val="a"/>
    <w:rsid w:val="00287709"/>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287709"/>
    <w:rPr>
      <w:b/>
      <w:bCs/>
    </w:rPr>
  </w:style>
  <w:style w:type="paragraph" w:styleId="a6">
    <w:name w:val="Normal (Web)"/>
    <w:basedOn w:val="a"/>
    <w:uiPriority w:val="99"/>
    <w:semiHidden/>
    <w:unhideWhenUsed/>
    <w:rsid w:val="0028770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5609808">
      <w:bodyDiv w:val="1"/>
      <w:marLeft w:val="0"/>
      <w:marRight w:val="0"/>
      <w:marTop w:val="0"/>
      <w:marBottom w:val="0"/>
      <w:divBdr>
        <w:top w:val="none" w:sz="0" w:space="0" w:color="auto"/>
        <w:left w:val="none" w:sz="0" w:space="0" w:color="auto"/>
        <w:bottom w:val="none" w:sz="0" w:space="0" w:color="auto"/>
        <w:right w:val="none" w:sz="0" w:space="0" w:color="auto"/>
      </w:divBdr>
      <w:divsChild>
        <w:div w:id="8021992">
          <w:marLeft w:val="0"/>
          <w:marRight w:val="0"/>
          <w:marTop w:val="225"/>
          <w:marBottom w:val="0"/>
          <w:divBdr>
            <w:top w:val="none" w:sz="0" w:space="0" w:color="auto"/>
            <w:left w:val="none" w:sz="0" w:space="0" w:color="auto"/>
            <w:bottom w:val="single" w:sz="6" w:space="31" w:color="D2D2D2"/>
            <w:right w:val="none" w:sz="0" w:space="0" w:color="auto"/>
          </w:divBdr>
          <w:divsChild>
            <w:div w:id="1458333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B8C7BD"/>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851</Words>
  <Characters>4855</Characters>
  <Application>Microsoft Office Word</Application>
  <DocSecurity>0</DocSecurity>
  <Lines>40</Lines>
  <Paragraphs>11</Paragraphs>
  <ScaleCrop>false</ScaleCrop>
  <Company/>
  <LinksUpToDate>false</LinksUpToDate>
  <CharactersWithSpaces>5695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赵小颖</dc:creator>
  <cp:keywords/>
  <dc:description/>
  <cp:lastModifiedBy>赵小颖</cp:lastModifiedBy>
  <cp:revision>2</cp:revision>
  <dcterms:created xsi:type="dcterms:W3CDTF">2019-11-12T07:09:00Z</dcterms:created>
  <dcterms:modified xsi:type="dcterms:W3CDTF">2019-11-12T07:09:00Z</dcterms:modified>
</cp:coreProperties>
</file>