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B0F" w:rsidRPr="00AE1B0F" w:rsidRDefault="00AE1B0F" w:rsidP="00AE1B0F">
      <w:pPr>
        <w:widowControl/>
        <w:spacing w:line="510" w:lineRule="atLeast"/>
        <w:jc w:val="center"/>
        <w:outlineLvl w:val="0"/>
        <w:rPr>
          <w:rFonts w:ascii="微软雅黑" w:eastAsia="微软雅黑" w:hAnsi="微软雅黑" w:cs="宋体"/>
          <w:color w:val="000000"/>
          <w:kern w:val="36"/>
          <w:sz w:val="30"/>
          <w:szCs w:val="30"/>
        </w:rPr>
      </w:pPr>
      <w:r w:rsidRPr="00AE1B0F">
        <w:rPr>
          <w:rFonts w:ascii="微软雅黑" w:eastAsia="微软雅黑" w:hAnsi="微软雅黑" w:cs="宋体" w:hint="eastAsia"/>
          <w:color w:val="000000"/>
          <w:kern w:val="36"/>
          <w:sz w:val="30"/>
          <w:szCs w:val="30"/>
        </w:rPr>
        <w:t>关于“外贸信托-金锝5号集合资金信托计划”特殊投资的公告</w:t>
      </w:r>
    </w:p>
    <w:p w:rsidR="00AE1B0F" w:rsidRPr="00AE1B0F" w:rsidRDefault="00AE1B0F" w:rsidP="00AE1B0F">
      <w:pPr>
        <w:widowControl/>
        <w:jc w:val="left"/>
        <w:rPr>
          <w:rFonts w:ascii="微软雅黑" w:eastAsia="微软雅黑" w:hAnsi="微软雅黑" w:cs="宋体" w:hint="eastAsia"/>
          <w:color w:val="555555"/>
          <w:kern w:val="0"/>
          <w:szCs w:val="21"/>
        </w:rPr>
      </w:pPr>
      <w:r w:rsidRPr="00AE1B0F">
        <w:rPr>
          <w:rFonts w:ascii="微软雅黑" w:eastAsia="微软雅黑" w:hAnsi="微软雅黑" w:cs="宋体" w:hint="eastAsia"/>
          <w:color w:val="555555"/>
          <w:kern w:val="0"/>
          <w:szCs w:val="21"/>
        </w:rPr>
        <w:t>2018-04-10     </w:t>
      </w:r>
    </w:p>
    <w:p w:rsidR="00AE1B0F" w:rsidRPr="00AE1B0F" w:rsidRDefault="00AE1B0F" w:rsidP="00AE1B0F">
      <w:pPr>
        <w:widowControl/>
        <w:spacing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 </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尊敬的委托人/受益人：</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根据我司收到的“外贸信托-金锝5号集合资金信托计划”（以下简称“本信托计划”）投资顾问上海金锝资产管理有限公司（以下简称“上海金锝”）发来的投资建议，本信托计划投资由上海淘利资产管理有限公司作为基金管理人发起设立的“淘利指数挂钩3期私募证券投资基金”（以下简称“淘利指数挂钩3期”）的B类基金份额。现特将“淘利指数挂钩3期”的相关情况披露如下：</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一、“淘利指数挂钩3期”的投资范围：</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1）现金类金融产品：现金、银行存款（包括银行活期存款、银行定期存款和银行协议存款等各类存款）、货币市场基金；</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2）权益类金融产品：沪深A股股票（含在创业板上市的股票，</w:t>
      </w:r>
      <w:proofErr w:type="gramStart"/>
      <w:r w:rsidRPr="00AE1B0F">
        <w:rPr>
          <w:rFonts w:ascii="微软雅黑" w:eastAsia="微软雅黑" w:hAnsi="微软雅黑" w:cs="宋体" w:hint="eastAsia"/>
          <w:color w:val="737373"/>
          <w:kern w:val="0"/>
          <w:szCs w:val="21"/>
        </w:rPr>
        <w:t>网上打</w:t>
      </w:r>
      <w:proofErr w:type="gramEnd"/>
      <w:r w:rsidRPr="00AE1B0F">
        <w:rPr>
          <w:rFonts w:ascii="微软雅黑" w:eastAsia="微软雅黑" w:hAnsi="微软雅黑" w:cs="宋体" w:hint="eastAsia"/>
          <w:color w:val="737373"/>
          <w:kern w:val="0"/>
          <w:szCs w:val="21"/>
        </w:rPr>
        <w:t>新）、沪港通、深港通、股票型证券投资基金（含封闭式及开放式证券投资基金、ETF、LOF基金、分级基金等）、权证；其中未经基金份额持有人同意，不得将本基金财产投资于深港通。</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3）固定收益类金融产品：国债、金融债、央行票据、公司债、企业债、可转换债券、短期融资</w:t>
      </w:r>
      <w:proofErr w:type="gramStart"/>
      <w:r w:rsidRPr="00AE1B0F">
        <w:rPr>
          <w:rFonts w:ascii="微软雅黑" w:eastAsia="微软雅黑" w:hAnsi="微软雅黑" w:cs="宋体" w:hint="eastAsia"/>
          <w:color w:val="737373"/>
          <w:kern w:val="0"/>
          <w:szCs w:val="21"/>
        </w:rPr>
        <w:t>券</w:t>
      </w:r>
      <w:proofErr w:type="gramEnd"/>
      <w:r w:rsidRPr="00AE1B0F">
        <w:rPr>
          <w:rFonts w:ascii="微软雅黑" w:eastAsia="微软雅黑" w:hAnsi="微软雅黑" w:cs="宋体" w:hint="eastAsia"/>
          <w:color w:val="737373"/>
          <w:kern w:val="0"/>
          <w:szCs w:val="21"/>
        </w:rPr>
        <w:t>、中期票据、资产支持证券、债券型基金、债券逆回购等固定收益类金融产品；</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4）金融衍生品：股指期货、商品期货、国债期货、融资融券、期权等；其中未经基金份额持有人同意，不得将本基金财产投资于商品期货、国债期货、融资融券、期权等衍生产品，且投资金融衍生品不得以投机为目的。</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5）其它资产：证券投资类基金公司（子公司）资产管理计划、证券投资类证券公司资产管理计划、证券投资类</w:t>
      </w:r>
      <w:proofErr w:type="gramStart"/>
      <w:r w:rsidRPr="00AE1B0F">
        <w:rPr>
          <w:rFonts w:ascii="微软雅黑" w:eastAsia="微软雅黑" w:hAnsi="微软雅黑" w:cs="宋体" w:hint="eastAsia"/>
          <w:color w:val="737373"/>
          <w:kern w:val="0"/>
          <w:szCs w:val="21"/>
        </w:rPr>
        <w:t>期货资管计划</w:t>
      </w:r>
      <w:proofErr w:type="gramEnd"/>
      <w:r w:rsidRPr="00AE1B0F">
        <w:rPr>
          <w:rFonts w:ascii="微软雅黑" w:eastAsia="微软雅黑" w:hAnsi="微软雅黑" w:cs="宋体" w:hint="eastAsia"/>
          <w:color w:val="737373"/>
          <w:kern w:val="0"/>
          <w:szCs w:val="21"/>
        </w:rPr>
        <w:t>、证券投资类私募基金、商业银行理财产品、证券投资类信托计划等。投资证券投资类基金公司（子公司）资产管理计划、证券投资类证券公司资产管理计划、证券投资类</w:t>
      </w:r>
      <w:proofErr w:type="gramStart"/>
      <w:r w:rsidRPr="00AE1B0F">
        <w:rPr>
          <w:rFonts w:ascii="微软雅黑" w:eastAsia="微软雅黑" w:hAnsi="微软雅黑" w:cs="宋体" w:hint="eastAsia"/>
          <w:color w:val="737373"/>
          <w:kern w:val="0"/>
          <w:szCs w:val="21"/>
        </w:rPr>
        <w:t>期货资管计划</w:t>
      </w:r>
      <w:proofErr w:type="gramEnd"/>
      <w:r w:rsidRPr="00AE1B0F">
        <w:rPr>
          <w:rFonts w:ascii="微软雅黑" w:eastAsia="微软雅黑" w:hAnsi="微软雅黑" w:cs="宋体" w:hint="eastAsia"/>
          <w:color w:val="737373"/>
          <w:kern w:val="0"/>
          <w:szCs w:val="21"/>
        </w:rPr>
        <w:t>、证券投资类私募基金、商业银行理财产品、证券投资类信托计划前，需征得基金份额持有人及销售机构同意后方可投资。</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二、投资于私募基金将面临的风险：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投资人投资于私募基金将面临如下风险，包括不限于：</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（一）市场风险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证券市场价格因受各种因素的影响而引起的波动，将使基金资产面临潜在的风险。市场风险可以分为股票投资风险和债券投资风险。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1、股票投资风险主要包括：</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（1）国家货币政策、财政政策、产业政策等的变化对证券市场产生一定的影响，导致市场价格水平波动的风险；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（2）宏观经济运行周期性波动，对股票市场的收益水平产生影响的风险；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（3）上市公司的经营状况受多种因素影响，如市场、技术、竞争、管理、财务等都会导致公司盈利发生变化，从而导致股票价格变动的风险。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2、债券投资风险主要包括：</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（1）市场平均利率水平变化导致债券价格变化的风险；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（2）债券市场不同期限、</w:t>
      </w:r>
      <w:proofErr w:type="gramStart"/>
      <w:r w:rsidRPr="00AE1B0F">
        <w:rPr>
          <w:rFonts w:ascii="微软雅黑" w:eastAsia="微软雅黑" w:hAnsi="微软雅黑" w:cs="宋体" w:hint="eastAsia"/>
          <w:color w:val="737373"/>
          <w:kern w:val="0"/>
          <w:szCs w:val="21"/>
        </w:rPr>
        <w:t>不</w:t>
      </w:r>
      <w:proofErr w:type="gramEnd"/>
      <w:r w:rsidRPr="00AE1B0F">
        <w:rPr>
          <w:rFonts w:ascii="微软雅黑" w:eastAsia="微软雅黑" w:hAnsi="微软雅黑" w:cs="宋体" w:hint="eastAsia"/>
          <w:color w:val="737373"/>
          <w:kern w:val="0"/>
          <w:szCs w:val="21"/>
        </w:rPr>
        <w:t>同类属债券之间的利差变动导致相应期限和类属债券价格变化的风险；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（3）债券之发行人出现违约、拒绝支付到期本息，或由于债券发行人信用质量降低导致债券价格下降的风险。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（二）管理风险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在实际操作过程中，基金管理人可能限于知识、技术、经验等因素而影响其对相关信息、经济形势和证券价格走势的判断，其精选出的投资品种的业绩表现不一定持续优于其他投资品种。</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本基金运作过程中，事务管理顾问仅对投资交易进行事后风控，基金管理人出具的符合相关法律法规及本基金合同约定的投资指令所形成的损失由基金财产承担，存在由于基金管理人的过错或未尽职履</w:t>
      </w:r>
      <w:proofErr w:type="gramStart"/>
      <w:r w:rsidRPr="00AE1B0F">
        <w:rPr>
          <w:rFonts w:ascii="微软雅黑" w:eastAsia="微软雅黑" w:hAnsi="微软雅黑" w:cs="宋体" w:hint="eastAsia"/>
          <w:color w:val="737373"/>
          <w:kern w:val="0"/>
          <w:szCs w:val="21"/>
        </w:rPr>
        <w:t>责导致</w:t>
      </w:r>
      <w:proofErr w:type="gramEnd"/>
      <w:r w:rsidRPr="00AE1B0F">
        <w:rPr>
          <w:rFonts w:ascii="微软雅黑" w:eastAsia="微软雅黑" w:hAnsi="微软雅黑" w:cs="宋体" w:hint="eastAsia"/>
          <w:color w:val="737373"/>
          <w:kern w:val="0"/>
          <w:szCs w:val="21"/>
        </w:rPr>
        <w:t>基金投资损失的风险。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（三）流动性风险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本基金预计存续期限为基金成立之日起10年（有延长的以延长期限为准）结束并清算完毕为止。在本基金存续期内，投资者可能面临资金不能退出带来的流动性风险。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根据实际投资运作情况，本基金有可能提前结束或延期结束，投资者可能因此面临委托资金不能按期退出等风险。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同时，基金财产存在不能及时变现的风险，在本基金终止时可能采取非现金资产方式分配，投资者应充分了解此项风险。此外，部分权利可能存在非因事务管理顾问原因（如债务人、担保人不配合，法律法规政策限制等）无法实际办理登记过户至投资者名下的情况，基金财产可能因此遭受损失。另外，由于市场或投资标的流动性不足（包括但不限于基金财</w:t>
      </w:r>
      <w:r w:rsidRPr="00AE1B0F">
        <w:rPr>
          <w:rFonts w:ascii="微软雅黑" w:eastAsia="微软雅黑" w:hAnsi="微软雅黑" w:cs="宋体" w:hint="eastAsia"/>
          <w:color w:val="737373"/>
          <w:kern w:val="0"/>
          <w:szCs w:val="21"/>
        </w:rPr>
        <w:lastRenderedPageBreak/>
        <w:t>产所投资证券停牌、交易所监管）和其他不可抗力因素导致本基金所投资的证券无法及时变现从而导致本基金现金资产不能满足本基金费用支付、利益分配、清算要求的风险。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（四）管理风险/基金运营风险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本基金选择的事务管理顾问、基金管理人、基金托管人、证券经纪商、期货经纪商存在由于其未按相关法规政策以及相关法律文件的约定履行应尽义务而给本基金带来的风险。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基金管理人依据基金合同约定管理和运用基金财产所产生的风险，由基金财产及投资者承担。投资者应充分知晓投资运营的相关风险，其风险应由投资者自担。私募基金在管理过程中存在备案、投资人风险适当性调查、投资者人数合并计算、信息披露、基金评级等环节，存在基金管理人未尽职履责或未依法及时履行登记备案、信息披露、信息报送等义务而被基金业协会处罚或被列入经营异常名单导致基金需提前结束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（五）操作、技术风险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相关参与人包括基金托管人、证券经纪商、期货经纪商、事务管理顾问及基金管理人，前述参与人在业务各环节操作过程中，均存在因内部控制存在缺陷或者人为因素等造成操作失误或违反操作规程等引致的风险，例如，越权违规交易、会计部门欺诈、交易错误、IT系统故障等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在证券的各种交易行为或者运作中，可能因为风控、交易等技术系统的故障或者差错而影响交易的正常进行，导致投资者的利益受到影响。这种技术风险可能来自事务管理顾问、基金管理人、证券公司、基金托管人、证券交易所、证券登记结算机构等。</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本基金项下分为A类基金份额和B类基金份额、每日估值、具有B类份额追加资金机制以及平仓机制、可申购赎回等，本基金运营操作较为复杂，可能发生操作、管理风险。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（六）流动性差异风险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持有的股指期货资产和股票等现货资产分别在多个交易场所进行交易，并各自遵守不同的交易规则，可能出现期货资产流动性较好、现货资产流动性相对较差的情况（或者现货流动性较好、期货流动性较差的情况），使得本基金的投资策略在执行时，完成了期货资产的投资时而无法完成相应的现货资产投资（或者完成现货资产投资但无法完成期货资产投资），使得投资策略失效，进而影响本基金的投资收益。</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（七）保证金风险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根据期货的交易规则，交易所、期货经纪商对本基金持有的期货资产进行每日结算，如本基金存续期间，本基金所持有的期货合约价格剧烈波动，本基金可能面临保证金不足的情况。如果届时，本基金持有的现金资产不足、或不能及时向期货账户补足保证金，即使期货价格最终走势符合预期，本基金仍然面临保证金不足而被强行平仓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（八）强制减仓风险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根据各项法律法规及本基金合同的约定，对期货、股票等资产的投资会设定投资范围、投资比例等限制条件，当本基金投资的证券资产超出法律法规及本基金合同的约定范围和比例时，事务管理顾问会根据本基金合同的约定对相应的资产进行减仓甚至平仓处理，进而引起本基金财产价值的波动。</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（九）交易风险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本基金将股指期货作为主要的投资标的之一，股指期货交易的复杂性和时效性显著高于股票等现货资产的交易。本基金在进行股指期货投资交易时，可能存在因基金管理人、基</w:t>
      </w:r>
      <w:r w:rsidRPr="00AE1B0F">
        <w:rPr>
          <w:rFonts w:ascii="微软雅黑" w:eastAsia="微软雅黑" w:hAnsi="微软雅黑" w:cs="宋体" w:hint="eastAsia"/>
          <w:color w:val="737373"/>
          <w:kern w:val="0"/>
          <w:szCs w:val="21"/>
        </w:rPr>
        <w:lastRenderedPageBreak/>
        <w:t>金托管人、期货经纪商、交易员等各方面的参与人员交易执行不力而使基金财产出现投资错误甚至投资损失的风险。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（十）系统执行风险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根据投资人的意愿及指定授权基金管理人通过证券经纪商提供的交易系统进行场内投资交易，存在因基金管理人内部控制存在缺陷、道德风险或者人为因素等造成操作失误、违反操作规程、违反本基金合同约定进行投资交易等引致的风险，例如，越权违规交易、会计部门欺诈、交易错误、软件系统故障、未经事务管理顾问同意更改软件系统设置等风险。此外，由于我国信息系统认证体系的缺失等原因，存在证券经纪商提供的交易系统的在设计、研发、使用过程中侵犯第三方知识产权的风险，从而给基金财产造成损失，给事务管理顾问或本基金带来不利影响。</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同时投资于股票、期货等资产，投资策略的执行、交易操作的完成均高度依赖于证券经纪商提供的交易系统。本基金在投资交易的过程中，存在因所使用的投资交易系统出现故障、基金管理人及交易员系统使用不当等原因使基金财产出现投资错误甚至投资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（十一）信用风险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本基金交易对手方发生交易违约，导致基金财产损失。</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（十二）特定的投资方法及基金财产所投资的特定投资对象可能引起的特定风险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本基金采取的投资策略可能存在使基金收益不能达到投资目标或者基金财产损失的风险。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（十三）基金本身面临的风险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1、法律及违约风险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在本基金的运作过程中，因事务管理顾问、基金管理人、基金托管人、注册登记机构等合作方违反国家法律规定或者相关合同约定而可能对基金财产带来风险。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2、购买力风险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本基金的目的是基金财产的增值，如果发生通货膨胀，则投资所获得的收益可能会被通货膨胀抵消，从而影响到基金财产的增值。</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3、资金损失风险/基金管理人不能承诺基金保本及收益的风险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基金管理人依照恪尽职守、诚实信用、谨慎勤勉的原则管理和运用基金财产，但不保证基金财产中的认购/申购资金不受损失，也不保证一定盈利及最低收益，基金投资者面临基金财产部分或全部损失的风险。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本基金A类基金份额的收益与股指涨跌挂钩，B类基金份额的收益既与股指涨跌挂钩、又与本基金投资的股票、基金等证券资产所取得的投资收益相关，尽管本</w:t>
      </w:r>
      <w:proofErr w:type="gramStart"/>
      <w:r w:rsidRPr="00AE1B0F">
        <w:rPr>
          <w:rFonts w:ascii="微软雅黑" w:eastAsia="微软雅黑" w:hAnsi="微软雅黑" w:cs="宋体" w:hint="eastAsia"/>
          <w:color w:val="737373"/>
          <w:kern w:val="0"/>
          <w:szCs w:val="21"/>
        </w:rPr>
        <w:t>基金基金</w:t>
      </w:r>
      <w:proofErr w:type="gramEnd"/>
      <w:r w:rsidRPr="00AE1B0F">
        <w:rPr>
          <w:rFonts w:ascii="微软雅黑" w:eastAsia="微软雅黑" w:hAnsi="微软雅黑" w:cs="宋体" w:hint="eastAsia"/>
          <w:color w:val="737373"/>
          <w:kern w:val="0"/>
          <w:szCs w:val="21"/>
        </w:rPr>
        <w:t>管理人拥有专业的管理团队进行投资管理，但仍存在由于市场风险、流动性风险、期货平仓开仓风险、投资决策失误等原因导致基金份额持有人面临基金财产部分或全部亏损的风险。此外，如本基金某一开放日发生大额赎回，本基金的基金管理人需在短时间内对非现金资产进行变现以满足赎回资金支付要求，本基金财产可能会因此受到损失。同时，按照本基金的赎回约定，申请赎回的基金份额持有人按照开放日或临时开放日当日的基金单位净值计算赎回资金，因此本基金存续的基金份额持有人在此情况下可能需承担额外的损失。其中B类基金份额持有人可能追加增强基金资金，其追加的增强基金资金也面临部分或全部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本基金设有平仓机制，本基金运行期间，当某一交易日（T日）估值结果显示该日X≥5（X=A类基金份额的基金资产净值：B类基金份额的基金资产净值）时，则本基金触及平仓线，本基金触及平仓线后，若B类基金份额持有人未在规定时间内按照本合同约定足额追加资金且T+1日X＞3，自T+2日起，基金管理人的管理职责终止，基金管理人不得下达任何交易指令，事务管理顾问有权对本基金持有的全部非现金资产进行不可逆变现，直至基金财产全部变现为止，并终止基金，由于本基金任一时点存在A类基金份额与B类基金份额规模不同、挂钩指数表现</w:t>
      </w:r>
      <w:proofErr w:type="gramStart"/>
      <w:r w:rsidRPr="00AE1B0F">
        <w:rPr>
          <w:rFonts w:ascii="微软雅黑" w:eastAsia="微软雅黑" w:hAnsi="微软雅黑" w:cs="宋体" w:hint="eastAsia"/>
          <w:color w:val="737373"/>
          <w:kern w:val="0"/>
          <w:szCs w:val="21"/>
        </w:rPr>
        <w:t>不</w:t>
      </w:r>
      <w:proofErr w:type="gramEnd"/>
      <w:r w:rsidRPr="00AE1B0F">
        <w:rPr>
          <w:rFonts w:ascii="微软雅黑" w:eastAsia="微软雅黑" w:hAnsi="微软雅黑" w:cs="宋体" w:hint="eastAsia"/>
          <w:color w:val="737373"/>
          <w:kern w:val="0"/>
          <w:szCs w:val="21"/>
        </w:rPr>
        <w:t>同等原因， A类基金份额持有人和B类基金份额持有人均存在基金财产部分或全部损失的风险。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本基金属于预期风险高的风险投资品种，适合风险识别、评估、承受能力强的合格投资者。</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4、投资标的风险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B类基金份额与所有A类基金份额分别通过签订合同的方式将收益均与挂钩指数涨跌挂钩（B类基金份额除与挂钩指涨跌挂钩外，还与本基金投资的股票、基金等证券资产所取得的投资收益挂钩），基金财产主要投资于包括国内依法发行上市的股票、债券、股指期货、货币市场工具、银行存款、国债期货以及法律法规和中国证监会允许基金投资的其他金融工具，该基金投资范围中包含股指期货、国债期货、融资融券等多种金融衍生品，投资上述金融衍生品对投资策略、交易系统、基金管理人的要求较高，风险较大。同时，投资标的本身面临的市场风险、操作风险、管理风险、流动性风险、政策风险、税收风险、资金损失风险等所有风险均可能传导至本基金，且存在由于基金管理人的管理投资能力、运营能力不足或发生道德风险，导致本基金投资损失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5、基金提前终止的风险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如果发生本基金合同所规定的基金终止的情形，包括但不限于触碰本基金平仓线时，管理人将卖出基金财产所投资之全部品种，并终止基金，由此可能导致基金财产遭受损失。</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任一时点因A类基金份额与B类基金份额规模不同、挂钩指数表现不同、B类基金份额持有人资金实力不足或追加资金意愿不足等原因，可能发生提前终止的风险，进而导致A类基金份额持有人和B类基金份额持有人基金财产部分或全部损失。</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（十四）相关机构的经营/管理风险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1、基金管理人经营/管理风险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投资者知悉，上海淘利资产管理有限公司（以下简称“上海淘利”）作为本基金的基金管理人，负责本基金的投资决策，负责选择具体投资标的，基金管理人的投资判断能力、投资水平将直接影响本基金的收益水平。存在基金管理人对经济形势和证券市场</w:t>
      </w:r>
      <w:proofErr w:type="gramStart"/>
      <w:r w:rsidRPr="00AE1B0F">
        <w:rPr>
          <w:rFonts w:ascii="微软雅黑" w:eastAsia="微软雅黑" w:hAnsi="微软雅黑" w:cs="宋体" w:hint="eastAsia"/>
          <w:color w:val="737373"/>
          <w:kern w:val="0"/>
          <w:szCs w:val="21"/>
        </w:rPr>
        <w:t>等判断</w:t>
      </w:r>
      <w:proofErr w:type="gramEnd"/>
      <w:r w:rsidRPr="00AE1B0F">
        <w:rPr>
          <w:rFonts w:ascii="微软雅黑" w:eastAsia="微软雅黑" w:hAnsi="微软雅黑" w:cs="宋体" w:hint="eastAsia"/>
          <w:color w:val="737373"/>
          <w:kern w:val="0"/>
          <w:szCs w:val="21"/>
        </w:rPr>
        <w:t>有误、决策失误，或其在基金存续期间内不能勤勉、尽责地履行其职能，导致本基金损失的风险。因基金管理人经营异常等原因需要提前结束基金的，基金将提前结束，由此产生的法律责任由基金管理人承担，与事务管理顾问无关。</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同时，本基金在管理过程中存在备案、特定对象确定、投资者适当性匹配、基金风险揭示、合格投资者确认、投资冷静期、回访确认、信息披露、基金评级等诸多环节，存在基金管理人未尽职履责或未依法及时履行登记备案、信息披露、信息报送等义务而被基金业协会处罚或被列入经营异常名单导致基金需提前结束的风险。因基金管理人经营异常等原因需要提前结束基金的，基金将提前结束，由此产生的法律责任由基金管理人承担，与事务管理顾问无关。</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2、事务管理顾问风险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本基金运行过程中，中国对外经济贸易信托有限公司（以下简称“外贸信托”）作为本基金的事务管理顾问，提供基金份额登记、估值核算、</w:t>
      </w:r>
      <w:proofErr w:type="gramStart"/>
      <w:r w:rsidRPr="00AE1B0F">
        <w:rPr>
          <w:rFonts w:ascii="微软雅黑" w:eastAsia="微软雅黑" w:hAnsi="微软雅黑" w:cs="宋体" w:hint="eastAsia"/>
          <w:color w:val="737373"/>
          <w:kern w:val="0"/>
          <w:szCs w:val="21"/>
        </w:rPr>
        <w:t>赎回款</w:t>
      </w:r>
      <w:proofErr w:type="gramEnd"/>
      <w:r w:rsidRPr="00AE1B0F">
        <w:rPr>
          <w:rFonts w:ascii="微软雅黑" w:eastAsia="微软雅黑" w:hAnsi="微软雅黑" w:cs="宋体" w:hint="eastAsia"/>
          <w:color w:val="737373"/>
          <w:kern w:val="0"/>
          <w:szCs w:val="21"/>
        </w:rPr>
        <w:t>支付以及协助基金管理人进行信息披露、收益分配与清算、档案保存等一系列服务，且本基金投资范围包括交易所交易的商品期货、股指期货、国债期货等金融衍生品，对事务管理顾问的要求较高，存在由于事务管理顾问内部管理流程、人员、系统、外部事件及不可抗力等原因未能完全履行相关协议的约定，进而导致事务管理顾问的操作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此外，外贸信托还负责每日的基金估值核对和对基金管理人的投资进行事后监督，可能因为风控、交易、互联网等技术系统的故障或者差错而影响交易或估值核对的正常进行，这种技术风险可能来自系统本身或证券公司、保管人、证券交易所、证券登记结算机构等。</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外贸信托作为本基金的事务管理顾问，仅根据基金管理人的委托履行相应的事务管理服务职责，因基金管理人的过错或违规行为导致的基金财产或基金投资人或其他相关方的损失由基金管理人承担。事务管理顾问接受基金管理人委托承担本基金事务管理工作，如基金管理人因故解聘事务管理顾问，由此产生的法律责任由基金管理人承担，与事务管理顾问无关。事务管理顾问因被监管机构要求提前结束相关服务，从而导致本基金需提前结束的风险由基金份额持有人自行承担，与事务管理顾问无关。</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3、基金托管人经营风险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按照我国金融监管法律规定，基金托管人须获得中国证监会核准的证券投资基金托管资格方可从事托管业务。</w:t>
      </w:r>
      <w:proofErr w:type="gramStart"/>
      <w:r w:rsidRPr="00AE1B0F">
        <w:rPr>
          <w:rFonts w:ascii="微软雅黑" w:eastAsia="微软雅黑" w:hAnsi="微软雅黑" w:cs="宋体" w:hint="eastAsia"/>
          <w:color w:val="737373"/>
          <w:kern w:val="0"/>
          <w:szCs w:val="21"/>
        </w:rPr>
        <w:t>虽基金</w:t>
      </w:r>
      <w:proofErr w:type="gramEnd"/>
      <w:r w:rsidRPr="00AE1B0F">
        <w:rPr>
          <w:rFonts w:ascii="微软雅黑" w:eastAsia="微软雅黑" w:hAnsi="微软雅黑" w:cs="宋体" w:hint="eastAsia"/>
          <w:color w:val="737373"/>
          <w:kern w:val="0"/>
          <w:szCs w:val="21"/>
        </w:rPr>
        <w:t>托管人相信其本身将按照相关法律的规定进行营运及管理，但无法保证其本身可以永久维持符合监管部门的金融监管法律。如在基金存续期间基金托管人无法继续从事托管业务，则可能会对基金产生不利影响。</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4、基金销售机构尽职风险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本基金的基金销售机构为招商银行，根据《私募投资基金监督管理暂行办法》的规定，以合伙企业、契约等非法人形式，通过多数投资者的资金直接或者间接投资于私募基金的，私募基金管理人或者私募销售机构应当穿透核查最终投资者是否为合格投资人，并合并计算投资者人数；另如本基金的B类份额由《私募投资基金募集行为管理办法》第三十二条规定以外的投资者认购时，存在因基金销售机构未尽职履行基金募集义务和合格投资人审查等义务，进而导致私募投资基金存在产品募集行为违规及合格投资者人数不符合法规要求等风险，进而给私募基金管理人及私募基金造成损失。</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（十五）关联交易风险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将投资于由基金管理人的关联方管理的产品或者与基金管理人或其关联方进行交易，这构成基金管理人与本基金的关联交易，存在关联交易风险。基金持有人不得基于任何原因，对于本基金投资于基金管理人及其关联方管理的产品或者与基金管理人或其关联方进行交易而造成的损失、收益未达预期或其他责任，向基金管理人主张任何权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（十六）投资策略、投资范围、投资组合比例和投资限制调整的风险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存续期间，经基金管理人、全体基金份额持有人及销售机构协商一致后，可以调整投资策略、投资范围、投资组合比例和投资限制。本基金决定调整投资策略、投资范围、投资组合比例和投资限制的，调整事项生效日应为本基金某一开放日下一个工作日，</w:t>
      </w:r>
      <w:proofErr w:type="gramStart"/>
      <w:r w:rsidRPr="00AE1B0F">
        <w:rPr>
          <w:rFonts w:ascii="微软雅黑" w:eastAsia="微软雅黑" w:hAnsi="微软雅黑" w:cs="宋体" w:hint="eastAsia"/>
          <w:color w:val="737373"/>
          <w:kern w:val="0"/>
          <w:szCs w:val="21"/>
        </w:rPr>
        <w:t>且基金</w:t>
      </w:r>
      <w:proofErr w:type="gramEnd"/>
      <w:r w:rsidRPr="00AE1B0F">
        <w:rPr>
          <w:rFonts w:ascii="微软雅黑" w:eastAsia="微软雅黑" w:hAnsi="微软雅黑" w:cs="宋体" w:hint="eastAsia"/>
          <w:color w:val="737373"/>
          <w:kern w:val="0"/>
          <w:szCs w:val="21"/>
        </w:rPr>
        <w:t>管理人应于调整事项生效日前20个工作日在其网站就调整事项进行公告。</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（十七）本基金的平仓风险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设有平仓机制，本基金运行期间，当某一交易日（T日）估值结果显示该日X≥5时，则本基金触及平仓线。本基金触及平仓线后，若B类基金份额持有人未在规定时间内按照基金合同约定足额追加资金且T+1日X＞3，自T+2日起，基金管理人的管理职责终</w:t>
      </w:r>
      <w:r w:rsidRPr="00AE1B0F">
        <w:rPr>
          <w:rFonts w:ascii="微软雅黑" w:eastAsia="微软雅黑" w:hAnsi="微软雅黑" w:cs="宋体" w:hint="eastAsia"/>
          <w:color w:val="737373"/>
          <w:kern w:val="0"/>
          <w:szCs w:val="21"/>
        </w:rPr>
        <w:lastRenderedPageBreak/>
        <w:t>止，基金管理人不得下达任何交易指令，事务管理顾问有权对本基金持有的全部非现金资产进行不可逆变现，直至基金财产全部变现为止。事务管理顾问可根据基金财产变现情况，宣布本基金提前清算。事务管理顾问对平仓结果不做任何的承诺或保证，因事务管理顾问进行平仓操作而产生的任何亏损或者盈利由基金财产承担，因股票停牌等非事务管理顾问原因不能及时进行平仓操作对基金财产的影响均由基金财产承担。</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根据合同的约定，X的值使用存续的各类A类基金份额的基金资产净值的合计数与B类基金份额的基金资产净值的比值进行计算，因此，一旦触发平仓机制，本基金将对所有非现金资产进行变现操作。即，触及平仓时，本基金可能有多类A类基金份额同时存在。不论存续的各类A类基金份额于何时成立并生效，本基金将对持有的全部非现金资产进行变现，变现完成后本基金提前终止，并根据基金合同的约定向全部投资人进行清算分配。</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同时，X的值使用存续的各类A类基金份额的基金资产净值的合计数与B类基金份额的基金资产净值的比值进行计算，因此X的计算结果与某类A类基金份额的基金资产净值没有直接关系。即，触及平仓时，某类A类基金份额的基金资产净值可能高也可能低，本基金依据基金合同进行平仓操作并进行清算后，每类A类基金份额持有人根据该类A类基金份额的基金财产净值获得相应收益或承担相应亏损，各类A类基金份额持有人的清算结果可能存在较大差距。</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（十八）被投资信托计划、资产管理计划、证券投资类私募投资基金的运营风险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投资的信托计划、基金公司及子公司发行的资产管理计划、证券公司资产管理计划、期货公司资产管理计划、证券投资类私募投资基金等在管理运作过程中，存在市场风险、管理与操作风险等风险。被投资信托计划、基金公司及子公司发行的资产管理计划、证券公司资产管理计划、期货公司资产管理计划、证券投资类私募投资基金等的风险直接影响</w:t>
      </w:r>
      <w:r w:rsidRPr="00AE1B0F">
        <w:rPr>
          <w:rFonts w:ascii="微软雅黑" w:eastAsia="微软雅黑" w:hAnsi="微软雅黑" w:cs="宋体" w:hint="eastAsia"/>
          <w:color w:val="737373"/>
          <w:kern w:val="0"/>
          <w:szCs w:val="21"/>
        </w:rPr>
        <w:lastRenderedPageBreak/>
        <w:t>本基金所拥有的该信托计划、资产管理计划、证券投资类私募投资基金受益权的价值，可能会给本基金带来损失。</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（十九）政策风险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中国证券监督管理委员会对证券市场的监管政策、中国银行业监督管理委员会对信托公司的监管政策等国家政策的变化（包括但不限于新政策的颁布或对原政策的修改、监管要求的新增或变更等）可能对本基金或标的基金的正常运行产生一定的影响，故本基金存在政策变化导致无法正常运行或提前结束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本基金的全部A类基金份额与B类基金份额初始配比及申购赎回后配比均不超过1：1，本基金存在证监会、基金业协会、银监会等监管机构提出异议的可能，导致本基金提前结束，面临监管政策风险。如因监管政策发生变化或应监管机构要求本基金需提前终止的，基金管理人有权提前终止本基金，因基金提前终止导致的一切风险均由基金财产承担，与基金管理人无关。</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（二十）税收风险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按照国家相关税务征税法律法规，投资者投资于私募基金所获得的资本利得或收益应缴纳相应的个人所得税或其他税费，对于该部分税收基金管理人不予代扣代缴。契约性基金所适用的税收征管法律法规可能会由于国家相关税收政策调整而发生变化，投资者收益也可能因相关税收政策调整而受到影响。存在国家税务政策发生变化或由于税务机关对私募基金税务缴纳和处理方式变化，要求补缴税款的可能性，从而降低投资者所获收益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（二十一）基金募集失败风险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lastRenderedPageBreak/>
        <w:t>本基金的成立需符合相关法律法规的规定，本基金可能存在不能满足成立条件从而无法成立的风险。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如募集失败，基金管理人的责任承担方式：</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（1）以其固有财产承担因募集行为而产生的债务和费用；</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（2）在基金募集期限届满（确认基金无法成立）后三十日内返还投资人已交纳的款项，并加计银行同期存款利息。</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如基金未能成立，事务管理顾问除按照上述约定承担责任外，不承担其他责任。</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（二十二）其他风险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战争、自然灾害等不可抗力因素的出现，将会严重影响证券市场的运行，可能导致基金资产的损失。金融市场危机、行业竞争、代理机构违约等超出事务管理顾问、基金管理人自身直接控制能力之外的风险，可能导致基金份额持有人利益受损。另外，根据本基金合同的约定，事务管理顾问经与基金管理人协商一致可以调整本基金合同的存续期限，以及发生本基金合同约定的其他情形时，本基金有提前结束或延期的风险。</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三、私募基金的A类基金份额与B类基金份额初始配比不超过1：1。私募基金的两类基金份额同时发售。开放日申购赎回后A类基金份额与B类基金份额（折算后）的配比不得超过1:1。本信托计划投资于私募基金的B类份额可能获得扣除支付给A类份额的基准收益后由于私募基金挂钩指数的下跌幅度超过私募基金资金投资标的下跌幅度（或私募基金资金投资标的上涨幅度超过私募基金挂钩指数的上涨幅度）的投资收益，也可能承担支付给A类份额的基准收益及由于私募基金挂钩指数的上涨幅度超过私募基金资金投资标的上涨幅度（或私募基金资金投资标的下跌幅度超过私募基金挂钩指数的下跌幅度）带来的投资损失，</w:t>
      </w:r>
      <w:r w:rsidRPr="00AE1B0F">
        <w:rPr>
          <w:rFonts w:ascii="微软雅黑" w:eastAsia="微软雅黑" w:hAnsi="微软雅黑" w:cs="宋体" w:hint="eastAsia"/>
          <w:color w:val="737373"/>
          <w:kern w:val="0"/>
          <w:szCs w:val="21"/>
        </w:rPr>
        <w:lastRenderedPageBreak/>
        <w:t>私募基金的B类份额的收益或损失计算方式参见“淘利指数挂钩3期私募证券投资基金”的相关协议，上述相关协议为本信托计划的备查文件，委托人/受益人可登录我司网站（www.fotic.com.cn)“网上信托”栏目进行查阅。</w:t>
      </w:r>
    </w:p>
    <w:p w:rsidR="00AE1B0F" w:rsidRPr="00AE1B0F" w:rsidRDefault="00AE1B0F" w:rsidP="00AE1B0F">
      <w:pPr>
        <w:widowControl/>
        <w:spacing w:before="150" w:line="390" w:lineRule="atLeast"/>
        <w:ind w:firstLine="480"/>
        <w:jc w:val="lef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特此公告。</w:t>
      </w:r>
    </w:p>
    <w:p w:rsidR="00AE1B0F" w:rsidRPr="00AE1B0F" w:rsidRDefault="00AE1B0F" w:rsidP="00AE1B0F">
      <w:pPr>
        <w:widowControl/>
        <w:spacing w:before="150" w:line="390" w:lineRule="atLeast"/>
        <w:ind w:firstLine="480"/>
        <w:jc w:val="righ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中国对外经济贸易信托有限公司</w:t>
      </w:r>
    </w:p>
    <w:p w:rsidR="00AE1B0F" w:rsidRPr="00AE1B0F" w:rsidRDefault="00AE1B0F" w:rsidP="00AE1B0F">
      <w:pPr>
        <w:widowControl/>
        <w:spacing w:before="150" w:line="390" w:lineRule="atLeast"/>
        <w:ind w:firstLine="480"/>
        <w:jc w:val="right"/>
        <w:rPr>
          <w:rFonts w:ascii="微软雅黑" w:eastAsia="微软雅黑" w:hAnsi="微软雅黑" w:cs="宋体" w:hint="eastAsia"/>
          <w:color w:val="737373"/>
          <w:kern w:val="0"/>
          <w:szCs w:val="21"/>
        </w:rPr>
      </w:pPr>
      <w:r w:rsidRPr="00AE1B0F">
        <w:rPr>
          <w:rFonts w:ascii="微软雅黑" w:eastAsia="微软雅黑" w:hAnsi="微软雅黑" w:cs="宋体" w:hint="eastAsia"/>
          <w:color w:val="737373"/>
          <w:kern w:val="0"/>
          <w:szCs w:val="21"/>
        </w:rPr>
        <w:t>二〇一八年四月九日</w:t>
      </w:r>
    </w:p>
    <w:p w:rsidR="00D52831" w:rsidRDefault="00D52831">
      <w:bookmarkStart w:id="0" w:name="_GoBack"/>
      <w:bookmarkEnd w:id="0"/>
    </w:p>
    <w:sectPr w:rsidR="00D528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8B2" w:rsidRDefault="001B78B2" w:rsidP="00AE1B0F">
      <w:r>
        <w:separator/>
      </w:r>
    </w:p>
  </w:endnote>
  <w:endnote w:type="continuationSeparator" w:id="0">
    <w:p w:rsidR="001B78B2" w:rsidRDefault="001B78B2" w:rsidP="00AE1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8B2" w:rsidRDefault="001B78B2" w:rsidP="00AE1B0F">
      <w:r>
        <w:separator/>
      </w:r>
    </w:p>
  </w:footnote>
  <w:footnote w:type="continuationSeparator" w:id="0">
    <w:p w:rsidR="001B78B2" w:rsidRDefault="001B78B2" w:rsidP="00AE1B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905"/>
    <w:rsid w:val="001B78B2"/>
    <w:rsid w:val="00A33905"/>
    <w:rsid w:val="00AE1B0F"/>
    <w:rsid w:val="00D52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E1B0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E1B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E1B0F"/>
    <w:rPr>
      <w:sz w:val="18"/>
      <w:szCs w:val="18"/>
    </w:rPr>
  </w:style>
  <w:style w:type="paragraph" w:styleId="a4">
    <w:name w:val="footer"/>
    <w:basedOn w:val="a"/>
    <w:link w:val="Char0"/>
    <w:uiPriority w:val="99"/>
    <w:unhideWhenUsed/>
    <w:rsid w:val="00AE1B0F"/>
    <w:pPr>
      <w:tabs>
        <w:tab w:val="center" w:pos="4153"/>
        <w:tab w:val="right" w:pos="8306"/>
      </w:tabs>
      <w:snapToGrid w:val="0"/>
      <w:jc w:val="left"/>
    </w:pPr>
    <w:rPr>
      <w:sz w:val="18"/>
      <w:szCs w:val="18"/>
    </w:rPr>
  </w:style>
  <w:style w:type="character" w:customStyle="1" w:styleId="Char0">
    <w:name w:val="页脚 Char"/>
    <w:basedOn w:val="a0"/>
    <w:link w:val="a4"/>
    <w:uiPriority w:val="99"/>
    <w:rsid w:val="00AE1B0F"/>
    <w:rPr>
      <w:sz w:val="18"/>
      <w:szCs w:val="18"/>
    </w:rPr>
  </w:style>
  <w:style w:type="character" w:customStyle="1" w:styleId="1Char">
    <w:name w:val="标题 1 Char"/>
    <w:basedOn w:val="a0"/>
    <w:link w:val="1"/>
    <w:uiPriority w:val="9"/>
    <w:rsid w:val="00AE1B0F"/>
    <w:rPr>
      <w:rFonts w:ascii="宋体" w:eastAsia="宋体" w:hAnsi="宋体" w:cs="宋体"/>
      <w:b/>
      <w:bCs/>
      <w:kern w:val="36"/>
      <w:sz w:val="48"/>
      <w:szCs w:val="48"/>
    </w:rPr>
  </w:style>
  <w:style w:type="character" w:customStyle="1" w:styleId="news-sum">
    <w:name w:val="news-sum"/>
    <w:basedOn w:val="a0"/>
    <w:rsid w:val="00AE1B0F"/>
  </w:style>
  <w:style w:type="paragraph" w:customStyle="1" w:styleId="indent">
    <w:name w:val="indent"/>
    <w:basedOn w:val="a"/>
    <w:rsid w:val="00AE1B0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E1B0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E1B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E1B0F"/>
    <w:rPr>
      <w:sz w:val="18"/>
      <w:szCs w:val="18"/>
    </w:rPr>
  </w:style>
  <w:style w:type="paragraph" w:styleId="a4">
    <w:name w:val="footer"/>
    <w:basedOn w:val="a"/>
    <w:link w:val="Char0"/>
    <w:uiPriority w:val="99"/>
    <w:unhideWhenUsed/>
    <w:rsid w:val="00AE1B0F"/>
    <w:pPr>
      <w:tabs>
        <w:tab w:val="center" w:pos="4153"/>
        <w:tab w:val="right" w:pos="8306"/>
      </w:tabs>
      <w:snapToGrid w:val="0"/>
      <w:jc w:val="left"/>
    </w:pPr>
    <w:rPr>
      <w:sz w:val="18"/>
      <w:szCs w:val="18"/>
    </w:rPr>
  </w:style>
  <w:style w:type="character" w:customStyle="1" w:styleId="Char0">
    <w:name w:val="页脚 Char"/>
    <w:basedOn w:val="a0"/>
    <w:link w:val="a4"/>
    <w:uiPriority w:val="99"/>
    <w:rsid w:val="00AE1B0F"/>
    <w:rPr>
      <w:sz w:val="18"/>
      <w:szCs w:val="18"/>
    </w:rPr>
  </w:style>
  <w:style w:type="character" w:customStyle="1" w:styleId="1Char">
    <w:name w:val="标题 1 Char"/>
    <w:basedOn w:val="a0"/>
    <w:link w:val="1"/>
    <w:uiPriority w:val="9"/>
    <w:rsid w:val="00AE1B0F"/>
    <w:rPr>
      <w:rFonts w:ascii="宋体" w:eastAsia="宋体" w:hAnsi="宋体" w:cs="宋体"/>
      <w:b/>
      <w:bCs/>
      <w:kern w:val="36"/>
      <w:sz w:val="48"/>
      <w:szCs w:val="48"/>
    </w:rPr>
  </w:style>
  <w:style w:type="character" w:customStyle="1" w:styleId="news-sum">
    <w:name w:val="news-sum"/>
    <w:basedOn w:val="a0"/>
    <w:rsid w:val="00AE1B0F"/>
  </w:style>
  <w:style w:type="paragraph" w:customStyle="1" w:styleId="indent">
    <w:name w:val="indent"/>
    <w:basedOn w:val="a"/>
    <w:rsid w:val="00AE1B0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528957">
      <w:bodyDiv w:val="1"/>
      <w:marLeft w:val="0"/>
      <w:marRight w:val="0"/>
      <w:marTop w:val="0"/>
      <w:marBottom w:val="0"/>
      <w:divBdr>
        <w:top w:val="none" w:sz="0" w:space="0" w:color="auto"/>
        <w:left w:val="none" w:sz="0" w:space="0" w:color="auto"/>
        <w:bottom w:val="none" w:sz="0" w:space="0" w:color="auto"/>
        <w:right w:val="none" w:sz="0" w:space="0" w:color="auto"/>
      </w:divBdr>
      <w:divsChild>
        <w:div w:id="1507282542">
          <w:marLeft w:val="0"/>
          <w:marRight w:val="0"/>
          <w:marTop w:val="225"/>
          <w:marBottom w:val="0"/>
          <w:divBdr>
            <w:top w:val="none" w:sz="0" w:space="0" w:color="auto"/>
            <w:left w:val="none" w:sz="0" w:space="0" w:color="auto"/>
            <w:bottom w:val="single" w:sz="6" w:space="31" w:color="D2D2D2"/>
            <w:right w:val="none" w:sz="0" w:space="0" w:color="auto"/>
          </w:divBdr>
          <w:divsChild>
            <w:div w:id="12920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1361</Words>
  <Characters>7758</Characters>
  <Application>Microsoft Office Word</Application>
  <DocSecurity>0</DocSecurity>
  <Lines>64</Lines>
  <Paragraphs>18</Paragraphs>
  <ScaleCrop>false</ScaleCrop>
  <Company/>
  <LinksUpToDate>false</LinksUpToDate>
  <CharactersWithSpaces>9101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2019-11-26T07:41:00Z</dcterms:created>
  <dcterms:modified xsi:type="dcterms:W3CDTF">2019-11-26T07:41:00Z</dcterms:modified>
</cp:coreProperties>
</file>