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920" w:rsidRPr="00B03920" w:rsidRDefault="00B03920" w:rsidP="00B03920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B03920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安粮智赢FOF1号分级资产管理计划分红公告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根据《安粮智赢FOF1号分级资产管理计划资产管理合同》的规定，安粮期货股份有限公司决定以截至2018年07月02日的剩余资产为基准，向全体委托人进行收益分配。分配方案由管理人制定，并经托管人华泰证券股份有限公司复核相关数据，现公告如下：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一、 收益分配方案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以截至2018年07月02日的剩余资产为基准，管理人决定派发红利总额1,210,157.12元。本次A类份额分红总金额为120,961.51元，B类份额分红总金额为1,089,195.61元。当日分配完毕后，本基金单位净值=A类份额单位净值=B类份额单位净值=1.0000元/份。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二、 收益分配时间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分红除权日：2018年07月02日，分红登记日：2018年07月03日。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三、 收益分配对象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分红登记日登记在册的安粮智赢FOF1号分级资产管理计划全体委托人。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四、 收益分配方式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本次基金收益分配方式为现金分红，委托人红利款将于2018年07月20日前自基金托管户划出。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B03920" w:rsidRDefault="00B03920" w:rsidP="00B03920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2018年07月03日</w:t>
      </w:r>
    </w:p>
    <w:p w:rsidR="004F17BB" w:rsidRPr="00B03920" w:rsidRDefault="004F17BB"/>
    <w:sectPr w:rsidR="004F17BB" w:rsidRPr="00B03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7BB" w:rsidRDefault="004F17BB" w:rsidP="00B03920">
      <w:r>
        <w:separator/>
      </w:r>
    </w:p>
  </w:endnote>
  <w:endnote w:type="continuationSeparator" w:id="1">
    <w:p w:rsidR="004F17BB" w:rsidRDefault="004F17BB" w:rsidP="00B03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7BB" w:rsidRDefault="004F17BB" w:rsidP="00B03920">
      <w:r>
        <w:separator/>
      </w:r>
    </w:p>
  </w:footnote>
  <w:footnote w:type="continuationSeparator" w:id="1">
    <w:p w:rsidR="004F17BB" w:rsidRDefault="004F17BB" w:rsidP="00B039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920"/>
    <w:rsid w:val="004F17BB"/>
    <w:rsid w:val="00B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0392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3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39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3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3920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03920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039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0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2019-11-27T06:37:00Z</dcterms:created>
  <dcterms:modified xsi:type="dcterms:W3CDTF">2019-11-27T06:37:00Z</dcterms:modified>
</cp:coreProperties>
</file>