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6A6" w:rsidRPr="006076A6" w:rsidRDefault="006076A6" w:rsidP="006076A6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6076A6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安粮智赢FOF1号分级资产管理计划分红公告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根据《安粮智赢FOF1号分级资产管理计划资产管理合同》的规定，安粮期货股份有限公司决定以截至2017年12月19日的剩余资产为基准，向全体委托人进行收益分配。分配方案由管理人制定，并经托管人华泰证券股份有限公司复核相关数据，现公告如下：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一、 收益分配方案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以截至2017年12月19日的剩余资产为基准，管理人决定派发红利总额776,621.91元。本次优先级分红总金额为58,186.45元，劣后级分红总金额为718，435.46元。当日分配完毕后，本基金单位净值=优先级份额单位净值=劣后级份额单位净值=1.0000元/份。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二、 收益分配时间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分红除权日：2017年12月19日，分红登记日：2017年12月20日。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三、 收益分配对象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分红登记日登记在册的安粮智赢FOF1号分级资产管理计划全体委托人。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四、 收益分配方式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本次基金收益分配方式为现金分红，委托人红利款将于2017年12月25日前自基金托管户划出。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6076A6" w:rsidRDefault="006076A6" w:rsidP="006076A6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2017年12月20日</w:t>
      </w:r>
    </w:p>
    <w:p w:rsidR="006E347A" w:rsidRPr="006076A6" w:rsidRDefault="006E347A"/>
    <w:sectPr w:rsidR="006E347A" w:rsidRPr="00607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47A" w:rsidRDefault="006E347A" w:rsidP="006076A6">
      <w:r>
        <w:separator/>
      </w:r>
    </w:p>
  </w:endnote>
  <w:endnote w:type="continuationSeparator" w:id="1">
    <w:p w:rsidR="006E347A" w:rsidRDefault="006E347A" w:rsidP="00607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47A" w:rsidRDefault="006E347A" w:rsidP="006076A6">
      <w:r>
        <w:separator/>
      </w:r>
    </w:p>
  </w:footnote>
  <w:footnote w:type="continuationSeparator" w:id="1">
    <w:p w:rsidR="006E347A" w:rsidRDefault="006E347A" w:rsidP="006076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76A6"/>
    <w:rsid w:val="006076A6"/>
    <w:rsid w:val="006E3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6076A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7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76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7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76A6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6076A6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076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3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2019-11-27T06:52:00Z</dcterms:created>
  <dcterms:modified xsi:type="dcterms:W3CDTF">2019-11-27T06:52:00Z</dcterms:modified>
</cp:coreProperties>
</file>