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6F" w:rsidRPr="002C0D6F" w:rsidRDefault="002C0D6F" w:rsidP="002C0D6F">
      <w:pPr>
        <w:widowControl/>
        <w:shd w:val="clear" w:color="auto" w:fill="FFFFFF"/>
        <w:spacing w:line="450" w:lineRule="atLeast"/>
        <w:jc w:val="center"/>
        <w:outlineLvl w:val="1"/>
        <w:rPr>
          <w:rFonts w:ascii="宋体" w:eastAsia="宋体" w:hAnsi="宋体" w:cs="宋体"/>
          <w:color w:val="808080"/>
          <w:kern w:val="0"/>
          <w:sz w:val="24"/>
          <w:szCs w:val="24"/>
        </w:rPr>
      </w:pPr>
      <w:r w:rsidRPr="002C0D6F">
        <w:rPr>
          <w:rFonts w:ascii="宋体" w:eastAsia="宋体" w:hAnsi="宋体" w:cs="宋体" w:hint="eastAsia"/>
          <w:color w:val="808080"/>
          <w:kern w:val="0"/>
          <w:sz w:val="24"/>
          <w:szCs w:val="24"/>
        </w:rPr>
        <w:t>太平洋证券14天现金增益集合资产管理计划63天份额第171期2019年12月4日开放公告</w:t>
      </w:r>
    </w:p>
    <w:p w:rsidR="002C0D6F" w:rsidRPr="002C0D6F" w:rsidRDefault="002C0D6F" w:rsidP="002C0D6F">
      <w:pPr>
        <w:widowControl/>
        <w:shd w:val="clear" w:color="auto" w:fill="FFFFFF"/>
        <w:spacing w:line="300" w:lineRule="atLeast"/>
        <w:jc w:val="center"/>
        <w:rPr>
          <w:rFonts w:ascii="宋体" w:eastAsia="宋体" w:hAnsi="宋体" w:cs="宋体" w:hint="eastAsia"/>
          <w:color w:val="000000"/>
          <w:kern w:val="0"/>
          <w:sz w:val="18"/>
          <w:szCs w:val="18"/>
        </w:rPr>
      </w:pPr>
      <w:r w:rsidRPr="002C0D6F">
        <w:rPr>
          <w:rFonts w:ascii="宋体" w:eastAsia="宋体" w:hAnsi="宋体" w:cs="宋体" w:hint="eastAsia"/>
          <w:color w:val="CACACA"/>
          <w:kern w:val="0"/>
          <w:sz w:val="18"/>
          <w:szCs w:val="18"/>
          <w:bdr w:val="none" w:sz="0" w:space="0" w:color="auto" w:frame="1"/>
        </w:rPr>
        <w:t>作者：--发表日期：2019-11-28 15:50:15【</w:t>
      </w:r>
      <w:hyperlink r:id="rId5" w:history="1">
        <w:r w:rsidRPr="002C0D6F">
          <w:rPr>
            <w:rFonts w:ascii="宋体" w:eastAsia="宋体" w:hAnsi="宋体" w:cs="宋体" w:hint="eastAsia"/>
            <w:color w:val="CACACA"/>
            <w:kern w:val="0"/>
            <w:sz w:val="18"/>
            <w:szCs w:val="18"/>
            <w:bdr w:val="none" w:sz="0" w:space="0" w:color="auto" w:frame="1"/>
          </w:rPr>
          <w:t>大</w:t>
        </w:r>
      </w:hyperlink>
      <w:hyperlink r:id="rId6" w:history="1">
        <w:r w:rsidRPr="002C0D6F">
          <w:rPr>
            <w:rFonts w:ascii="宋体" w:eastAsia="宋体" w:hAnsi="宋体" w:cs="宋体" w:hint="eastAsia"/>
            <w:color w:val="CACACA"/>
            <w:kern w:val="0"/>
            <w:sz w:val="18"/>
            <w:szCs w:val="18"/>
            <w:bdr w:val="none" w:sz="0" w:space="0" w:color="auto" w:frame="1"/>
          </w:rPr>
          <w:t>中</w:t>
        </w:r>
      </w:hyperlink>
      <w:hyperlink r:id="rId7" w:history="1">
        <w:r w:rsidRPr="002C0D6F">
          <w:rPr>
            <w:rFonts w:ascii="宋体" w:eastAsia="宋体" w:hAnsi="宋体" w:cs="宋体" w:hint="eastAsia"/>
            <w:color w:val="CACACA"/>
            <w:kern w:val="0"/>
            <w:sz w:val="18"/>
            <w:szCs w:val="18"/>
            <w:bdr w:val="none" w:sz="0" w:space="0" w:color="auto" w:frame="1"/>
          </w:rPr>
          <w:t>小</w:t>
        </w:r>
      </w:hyperlink>
      <w:r w:rsidRPr="002C0D6F">
        <w:rPr>
          <w:rFonts w:ascii="宋体" w:eastAsia="宋体" w:hAnsi="宋体" w:cs="宋体" w:hint="eastAsia"/>
          <w:color w:val="CACACA"/>
          <w:kern w:val="0"/>
          <w:sz w:val="18"/>
          <w:szCs w:val="18"/>
          <w:bdr w:val="none" w:sz="0" w:space="0" w:color="auto" w:frame="1"/>
        </w:rPr>
        <w:t>】</w:t>
      </w:r>
      <w:r w:rsidRPr="002C0D6F">
        <w:rPr>
          <w:rFonts w:ascii="宋体" w:eastAsia="宋体" w:hAnsi="宋体" w:cs="宋体" w:hint="eastAsia"/>
          <w:color w:val="000000"/>
          <w:kern w:val="0"/>
          <w:sz w:val="18"/>
          <w:szCs w:val="18"/>
        </w:rPr>
        <w:t> </w:t>
      </w:r>
      <w:hyperlink r:id="rId8" w:history="1">
        <w:r w:rsidRPr="002C0D6F">
          <w:rPr>
            <w:rFonts w:ascii="宋体" w:eastAsia="宋体" w:hAnsi="宋体" w:cs="宋体" w:hint="eastAsia"/>
            <w:color w:val="CACACA"/>
            <w:kern w:val="0"/>
            <w:sz w:val="18"/>
            <w:szCs w:val="18"/>
            <w:bdr w:val="none" w:sz="0" w:space="0" w:color="auto" w:frame="1"/>
          </w:rPr>
          <w:t>新浪微博</w:t>
        </w:r>
      </w:hyperlink>
      <w:r w:rsidRPr="002C0D6F">
        <w:rPr>
          <w:rFonts w:ascii="宋体" w:eastAsia="宋体" w:hAnsi="宋体" w:cs="宋体" w:hint="eastAsia"/>
          <w:color w:val="CACACA"/>
          <w:kern w:val="0"/>
          <w:sz w:val="18"/>
          <w:szCs w:val="18"/>
          <w:bdr w:val="none" w:sz="0" w:space="0" w:color="auto" w:frame="1"/>
        </w:rPr>
        <w:t> </w:t>
      </w:r>
      <w:hyperlink r:id="rId9" w:history="1">
        <w:r w:rsidRPr="002C0D6F">
          <w:rPr>
            <w:rFonts w:ascii="宋体" w:eastAsia="宋体" w:hAnsi="宋体" w:cs="宋体" w:hint="eastAsia"/>
            <w:color w:val="CACACA"/>
            <w:kern w:val="0"/>
            <w:sz w:val="18"/>
            <w:szCs w:val="18"/>
            <w:bdr w:val="none" w:sz="0" w:space="0" w:color="auto" w:frame="1"/>
          </w:rPr>
          <w:t>腾讯微博</w:t>
        </w:r>
      </w:hyperlink>
    </w:p>
    <w:p w:rsidR="002C0D6F" w:rsidRPr="002C0D6F" w:rsidRDefault="002C0D6F" w:rsidP="002C0D6F">
      <w:pPr>
        <w:widowControl/>
        <w:shd w:val="clear" w:color="auto" w:fill="FFFFFF"/>
        <w:spacing w:line="360" w:lineRule="atLeast"/>
        <w:jc w:val="center"/>
        <w:rPr>
          <w:rFonts w:ascii="宋体" w:eastAsia="宋体" w:hAnsi="宋体" w:cs="宋体" w:hint="eastAsia"/>
          <w:color w:val="787878"/>
          <w:kern w:val="0"/>
          <w:sz w:val="24"/>
          <w:szCs w:val="24"/>
        </w:rPr>
      </w:pPr>
      <w:r w:rsidRPr="002C0D6F">
        <w:rPr>
          <w:rFonts w:ascii="楷体" w:eastAsia="楷体" w:hAnsi="楷体" w:cs="宋体" w:hint="eastAsia"/>
          <w:b/>
          <w:bCs/>
          <w:color w:val="787878"/>
          <w:kern w:val="0"/>
          <w:sz w:val="32"/>
          <w:szCs w:val="32"/>
          <w:bdr w:val="none" w:sz="0" w:space="0" w:color="auto" w:frame="1"/>
        </w:rPr>
        <w:t>太平洋证券14天现金增益集合资产管理计划</w:t>
      </w:r>
    </w:p>
    <w:p w:rsidR="002C0D6F" w:rsidRPr="002C0D6F" w:rsidRDefault="002C0D6F" w:rsidP="002C0D6F">
      <w:pPr>
        <w:widowControl/>
        <w:shd w:val="clear" w:color="auto" w:fill="FFFFFF"/>
        <w:spacing w:line="360" w:lineRule="atLeast"/>
        <w:jc w:val="center"/>
        <w:rPr>
          <w:rFonts w:ascii="宋体" w:eastAsia="宋体" w:hAnsi="宋体" w:cs="宋体" w:hint="eastAsia"/>
          <w:color w:val="787878"/>
          <w:kern w:val="0"/>
          <w:sz w:val="24"/>
          <w:szCs w:val="24"/>
        </w:rPr>
      </w:pPr>
      <w:r w:rsidRPr="002C0D6F">
        <w:rPr>
          <w:rFonts w:ascii="楷体" w:eastAsia="楷体" w:hAnsi="楷体" w:cs="宋体" w:hint="eastAsia"/>
          <w:b/>
          <w:bCs/>
          <w:color w:val="787878"/>
          <w:kern w:val="0"/>
          <w:sz w:val="28"/>
          <w:szCs w:val="28"/>
          <w:bdr w:val="none" w:sz="0" w:space="0" w:color="auto" w:frame="1"/>
        </w:rPr>
        <w:t>63天份额第171期2019年12月4日开放公告</w:t>
      </w:r>
    </w:p>
    <w:p w:rsidR="002C0D6F" w:rsidRPr="002C0D6F" w:rsidRDefault="002C0D6F" w:rsidP="002C0D6F">
      <w:pPr>
        <w:widowControl/>
        <w:shd w:val="clear" w:color="auto" w:fill="FFFFFF"/>
        <w:spacing w:line="315" w:lineRule="atLeast"/>
        <w:ind w:firstLine="425"/>
        <w:jc w:val="left"/>
        <w:rPr>
          <w:rFonts w:ascii="Calibri" w:eastAsia="宋体" w:hAnsi="Calibri" w:cs="宋体" w:hint="eastAsia"/>
          <w:color w:val="787878"/>
          <w:kern w:val="0"/>
          <w:szCs w:val="21"/>
        </w:rPr>
      </w:pPr>
      <w:r w:rsidRPr="002C0D6F">
        <w:rPr>
          <w:rFonts w:ascii="楷体" w:eastAsia="楷体" w:hAnsi="楷体" w:cs="宋体" w:hint="eastAsia"/>
          <w:color w:val="787878"/>
          <w:kern w:val="0"/>
          <w:sz w:val="24"/>
          <w:szCs w:val="24"/>
          <w:bdr w:val="none" w:sz="0" w:space="0" w:color="auto" w:frame="1"/>
        </w:rPr>
        <w:t>太平洋证券14天现金增益集合资产管理计划（以下简称“本集合计划”）是限定性集合资产管理计划，本期63天份额代码为E62013。我司担任管理人，兴业银行股份有限公司担任托管人，推广机构为我司直销、营业部、微众银行、天天基金、陆金所、广发银行、利得基金、同花顺、通华财富、虹点基金、一路财富、联泰资产、爱建证券、百度百盈基金、苏宁金融、和耕传承。</w:t>
      </w:r>
    </w:p>
    <w:p w:rsidR="002C0D6F" w:rsidRPr="002C0D6F" w:rsidRDefault="002C0D6F" w:rsidP="002C0D6F">
      <w:pPr>
        <w:widowControl/>
        <w:shd w:val="clear" w:color="auto" w:fill="FFFFFF"/>
        <w:spacing w:line="315" w:lineRule="atLeast"/>
        <w:ind w:firstLine="425"/>
        <w:jc w:val="left"/>
        <w:rPr>
          <w:rFonts w:ascii="Calibri" w:eastAsia="宋体" w:hAnsi="Calibri" w:cs="宋体"/>
          <w:color w:val="787878"/>
          <w:kern w:val="0"/>
          <w:szCs w:val="21"/>
        </w:rPr>
      </w:pPr>
      <w:r w:rsidRPr="002C0D6F">
        <w:rPr>
          <w:rFonts w:ascii="楷体" w:eastAsia="楷体" w:hAnsi="楷体" w:cs="宋体" w:hint="eastAsia"/>
          <w:color w:val="787878"/>
          <w:kern w:val="0"/>
          <w:sz w:val="24"/>
          <w:szCs w:val="24"/>
          <w:bdr w:val="none" w:sz="0" w:space="0" w:color="auto" w:frame="1"/>
        </w:rPr>
        <w:t>本投资周期起始日为2019年12月4日（本次收益从2019年12月5日计算收益）。投资者可于2019年12月4日通过推广机构申请参与；本投资周期的到期日为2020年2月5日（当天计算收益），收益计算实际天数为63天。投资者可于2020年2月5日申请退出。</w:t>
      </w:r>
    </w:p>
    <w:p w:rsidR="002C0D6F" w:rsidRPr="002C0D6F" w:rsidRDefault="002C0D6F" w:rsidP="002C0D6F">
      <w:pPr>
        <w:widowControl/>
        <w:shd w:val="clear" w:color="auto" w:fill="FFFFFF"/>
        <w:spacing w:line="315" w:lineRule="atLeast"/>
        <w:ind w:firstLine="425"/>
        <w:jc w:val="left"/>
        <w:rPr>
          <w:rFonts w:ascii="Calibri" w:eastAsia="宋体" w:hAnsi="Calibri" w:cs="宋体"/>
          <w:color w:val="787878"/>
          <w:kern w:val="0"/>
          <w:szCs w:val="21"/>
        </w:rPr>
      </w:pPr>
      <w:r w:rsidRPr="002C0D6F">
        <w:rPr>
          <w:rFonts w:ascii="楷体" w:eastAsia="楷体" w:hAnsi="楷体" w:cs="宋体" w:hint="eastAsia"/>
          <w:color w:val="787878"/>
          <w:kern w:val="0"/>
          <w:sz w:val="24"/>
          <w:szCs w:val="24"/>
          <w:bdr w:val="none" w:sz="0" w:space="0" w:color="auto" w:frame="1"/>
        </w:rPr>
        <w:t>本投资周期份额的业绩比较基准设为4.05%，业绩比较基准仅作为管理人计提业绩报酬的依据，并非管理人对投资者保本保收益的承诺。</w:t>
      </w:r>
    </w:p>
    <w:p w:rsidR="002C0D6F" w:rsidRPr="002C0D6F" w:rsidRDefault="002C0D6F" w:rsidP="002C0D6F">
      <w:pPr>
        <w:widowControl/>
        <w:shd w:val="clear" w:color="auto" w:fill="FFFFFF"/>
        <w:spacing w:line="315" w:lineRule="atLeast"/>
        <w:ind w:firstLine="425"/>
        <w:jc w:val="left"/>
        <w:rPr>
          <w:rFonts w:ascii="Calibri" w:eastAsia="宋体" w:hAnsi="Calibri" w:cs="宋体"/>
          <w:color w:val="787878"/>
          <w:kern w:val="0"/>
          <w:szCs w:val="21"/>
        </w:rPr>
      </w:pPr>
      <w:r w:rsidRPr="002C0D6F">
        <w:rPr>
          <w:rFonts w:ascii="楷体" w:eastAsia="楷体" w:hAnsi="楷体" w:cs="宋体" w:hint="eastAsia"/>
          <w:color w:val="787878"/>
          <w:kern w:val="0"/>
          <w:sz w:val="24"/>
          <w:szCs w:val="24"/>
          <w:bdr w:val="none" w:sz="0" w:space="0" w:color="auto" w:frame="1"/>
        </w:rPr>
        <w:t>本投资周期份额的实际收益率请关注本投资周期到期后管理人发布的到期公告。</w:t>
      </w:r>
    </w:p>
    <w:p w:rsidR="002C0D6F" w:rsidRPr="002C0D6F" w:rsidRDefault="002C0D6F" w:rsidP="002C0D6F">
      <w:pPr>
        <w:widowControl/>
        <w:shd w:val="clear" w:color="auto" w:fill="FFFFFF"/>
        <w:spacing w:line="315" w:lineRule="atLeast"/>
        <w:ind w:firstLine="425"/>
        <w:jc w:val="left"/>
        <w:rPr>
          <w:rFonts w:ascii="Calibri" w:eastAsia="宋体" w:hAnsi="Calibri" w:cs="宋体"/>
          <w:color w:val="787878"/>
          <w:kern w:val="0"/>
          <w:szCs w:val="21"/>
        </w:rPr>
      </w:pPr>
      <w:r w:rsidRPr="002C0D6F">
        <w:rPr>
          <w:rFonts w:ascii="楷体" w:eastAsia="楷体" w:hAnsi="楷体" w:cs="宋体" w:hint="eastAsia"/>
          <w:color w:val="787878"/>
          <w:kern w:val="0"/>
          <w:sz w:val="24"/>
          <w:szCs w:val="24"/>
          <w:bdr w:val="none" w:sz="0" w:space="0" w:color="auto" w:frame="1"/>
        </w:rPr>
        <w:t>本集合计划的具体内容，请投资者认真阅读《太平洋证券14天现金增益集合资产管理计划说明书》和《太平洋证券14天现金增益集合资产管理合同》，也可登录我公司网站（</w:t>
      </w:r>
      <w:hyperlink r:id="rId10" w:history="1">
        <w:r w:rsidRPr="002C0D6F">
          <w:rPr>
            <w:rFonts w:ascii="楷体" w:eastAsia="楷体" w:hAnsi="楷体" w:cs="宋体" w:hint="eastAsia"/>
            <w:kern w:val="0"/>
            <w:sz w:val="24"/>
            <w:szCs w:val="24"/>
            <w:bdr w:val="none" w:sz="0" w:space="0" w:color="auto" w:frame="1"/>
          </w:rPr>
          <w:t>http://www.tpyzq.com</w:t>
        </w:r>
      </w:hyperlink>
      <w:r w:rsidRPr="002C0D6F">
        <w:rPr>
          <w:rFonts w:ascii="楷体" w:eastAsia="楷体" w:hAnsi="楷体" w:cs="宋体" w:hint="eastAsia"/>
          <w:color w:val="787878"/>
          <w:kern w:val="0"/>
          <w:sz w:val="24"/>
          <w:szCs w:val="24"/>
          <w:bdr w:val="none" w:sz="0" w:space="0" w:color="auto" w:frame="1"/>
        </w:rPr>
        <w:t>）查询。</w:t>
      </w:r>
    </w:p>
    <w:p w:rsidR="002C0D6F" w:rsidRPr="002C0D6F" w:rsidRDefault="002C0D6F" w:rsidP="002C0D6F">
      <w:pPr>
        <w:widowControl/>
        <w:shd w:val="clear" w:color="auto" w:fill="FFFFFF"/>
        <w:spacing w:line="315" w:lineRule="atLeast"/>
        <w:ind w:firstLine="425"/>
        <w:jc w:val="left"/>
        <w:rPr>
          <w:rFonts w:ascii="Calibri" w:eastAsia="宋体" w:hAnsi="Calibri" w:cs="宋体"/>
          <w:color w:val="787878"/>
          <w:kern w:val="0"/>
          <w:szCs w:val="21"/>
        </w:rPr>
      </w:pPr>
      <w:r w:rsidRPr="002C0D6F">
        <w:rPr>
          <w:rFonts w:ascii="楷体" w:eastAsia="楷体" w:hAnsi="楷体" w:cs="宋体" w:hint="eastAsia"/>
          <w:color w:val="787878"/>
          <w:kern w:val="0"/>
          <w:sz w:val="24"/>
          <w:szCs w:val="24"/>
          <w:bdr w:val="none" w:sz="0" w:space="0" w:color="auto" w:frame="1"/>
        </w:rPr>
        <w:t>特此公告。</w:t>
      </w:r>
    </w:p>
    <w:p w:rsidR="002C0D6F" w:rsidRPr="002C0D6F" w:rsidRDefault="002C0D6F" w:rsidP="002C0D6F">
      <w:pPr>
        <w:widowControl/>
        <w:shd w:val="clear" w:color="auto" w:fill="FFFFFF"/>
        <w:spacing w:line="315" w:lineRule="atLeast"/>
        <w:ind w:firstLine="840"/>
        <w:jc w:val="left"/>
        <w:rPr>
          <w:rFonts w:ascii="Calibri" w:eastAsia="宋体" w:hAnsi="Calibri" w:cs="宋体"/>
          <w:color w:val="787878"/>
          <w:kern w:val="0"/>
          <w:szCs w:val="21"/>
        </w:rPr>
      </w:pPr>
      <w:r w:rsidRPr="002C0D6F">
        <w:rPr>
          <w:rFonts w:ascii="宋体" w:eastAsia="宋体" w:hAnsi="宋体" w:cs="宋体" w:hint="eastAsia"/>
          <w:color w:val="787878"/>
          <w:kern w:val="0"/>
          <w:sz w:val="16"/>
          <w:szCs w:val="16"/>
          <w:bdr w:val="none" w:sz="0" w:space="0" w:color="auto" w:frame="1"/>
        </w:rPr>
        <w:t> </w:t>
      </w:r>
    </w:p>
    <w:p w:rsidR="002C0D6F" w:rsidRPr="002C0D6F" w:rsidRDefault="002C0D6F" w:rsidP="002C0D6F">
      <w:pPr>
        <w:widowControl/>
        <w:shd w:val="clear" w:color="auto" w:fill="FFFFFF"/>
        <w:spacing w:line="315" w:lineRule="atLeast"/>
        <w:ind w:firstLine="840"/>
        <w:jc w:val="left"/>
        <w:rPr>
          <w:rFonts w:ascii="Calibri" w:eastAsia="宋体" w:hAnsi="Calibri" w:cs="宋体"/>
          <w:color w:val="787878"/>
          <w:kern w:val="0"/>
          <w:szCs w:val="21"/>
        </w:rPr>
      </w:pPr>
      <w:r w:rsidRPr="002C0D6F">
        <w:rPr>
          <w:rFonts w:ascii="宋体" w:eastAsia="宋体" w:hAnsi="宋体" w:cs="宋体" w:hint="eastAsia"/>
          <w:color w:val="787878"/>
          <w:kern w:val="0"/>
          <w:sz w:val="16"/>
          <w:szCs w:val="16"/>
          <w:bdr w:val="none" w:sz="0" w:space="0" w:color="auto" w:frame="1"/>
        </w:rPr>
        <w:t> </w:t>
      </w:r>
    </w:p>
    <w:p w:rsidR="002C0D6F" w:rsidRPr="002C0D6F" w:rsidRDefault="002C0D6F" w:rsidP="002C0D6F">
      <w:pPr>
        <w:widowControl/>
        <w:shd w:val="clear" w:color="auto" w:fill="FFFFFF"/>
        <w:spacing w:line="315" w:lineRule="atLeast"/>
        <w:ind w:firstLine="425"/>
        <w:jc w:val="right"/>
        <w:rPr>
          <w:rFonts w:ascii="Calibri" w:eastAsia="宋体" w:hAnsi="Calibri" w:cs="宋体"/>
          <w:color w:val="787878"/>
          <w:kern w:val="0"/>
          <w:szCs w:val="21"/>
        </w:rPr>
      </w:pPr>
      <w:r w:rsidRPr="002C0D6F">
        <w:rPr>
          <w:rFonts w:ascii="Calibri" w:eastAsia="宋体" w:hAnsi="Calibri" w:cs="宋体"/>
          <w:color w:val="787878"/>
          <w:kern w:val="0"/>
          <w:sz w:val="24"/>
          <w:szCs w:val="24"/>
          <w:bdr w:val="none" w:sz="0" w:space="0" w:color="auto" w:frame="1"/>
        </w:rPr>
        <w:t>           </w:t>
      </w:r>
      <w:r w:rsidRPr="002C0D6F">
        <w:rPr>
          <w:rFonts w:ascii="楷体" w:eastAsia="楷体" w:hAnsi="楷体" w:cs="宋体" w:hint="eastAsia"/>
          <w:color w:val="787878"/>
          <w:kern w:val="0"/>
          <w:sz w:val="24"/>
          <w:szCs w:val="24"/>
          <w:bdr w:val="none" w:sz="0" w:space="0" w:color="auto" w:frame="1"/>
        </w:rPr>
        <w:t>太平洋证券股份有限公司</w:t>
      </w:r>
    </w:p>
    <w:p w:rsidR="002C0D6F" w:rsidRPr="002C0D6F" w:rsidRDefault="002C0D6F" w:rsidP="002C0D6F">
      <w:pPr>
        <w:widowControl/>
        <w:shd w:val="clear" w:color="auto" w:fill="FFFFFF"/>
        <w:spacing w:line="360" w:lineRule="atLeast"/>
        <w:jc w:val="right"/>
        <w:rPr>
          <w:rFonts w:ascii="Calibri" w:eastAsia="宋体" w:hAnsi="Calibri" w:cs="宋体"/>
          <w:color w:val="787878"/>
          <w:kern w:val="0"/>
          <w:szCs w:val="21"/>
        </w:rPr>
      </w:pPr>
      <w:r w:rsidRPr="002C0D6F">
        <w:rPr>
          <w:rFonts w:ascii="楷体" w:eastAsia="楷体" w:hAnsi="楷体" w:cs="宋体" w:hint="eastAsia"/>
          <w:color w:val="787878"/>
          <w:kern w:val="0"/>
          <w:sz w:val="24"/>
          <w:szCs w:val="24"/>
          <w:bdr w:val="none" w:sz="0" w:space="0" w:color="auto" w:frame="1"/>
        </w:rPr>
        <w:t>二零一九年十一月二十八日</w:t>
      </w:r>
    </w:p>
    <w:p w:rsidR="002C0D6F" w:rsidRPr="002C0D6F" w:rsidRDefault="002C0D6F" w:rsidP="002C0D6F">
      <w:pPr>
        <w:widowControl/>
        <w:shd w:val="clear" w:color="auto" w:fill="FFFFFF"/>
        <w:spacing w:line="360" w:lineRule="atLeast"/>
        <w:rPr>
          <w:rFonts w:ascii="Calibri" w:eastAsia="宋体" w:hAnsi="Calibri" w:cs="宋体"/>
          <w:color w:val="787878"/>
          <w:kern w:val="0"/>
          <w:szCs w:val="21"/>
        </w:rPr>
      </w:pPr>
      <w:r w:rsidRPr="002C0D6F">
        <w:rPr>
          <w:rFonts w:ascii="Calibri" w:eastAsia="宋体" w:hAnsi="Calibri" w:cs="宋体"/>
          <w:color w:val="787878"/>
          <w:kern w:val="0"/>
          <w:szCs w:val="21"/>
          <w:bdr w:val="none" w:sz="0" w:space="0" w:color="auto" w:frame="1"/>
        </w:rPr>
        <w:t> </w:t>
      </w:r>
    </w:p>
    <w:p w:rsidR="007264D6" w:rsidRDefault="007264D6">
      <w:bookmarkStart w:id="0" w:name="_GoBack"/>
      <w:bookmarkEnd w:id="0"/>
    </w:p>
    <w:sectPr w:rsidR="007264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79"/>
    <w:rsid w:val="002C0D6F"/>
    <w:rsid w:val="007264D6"/>
    <w:rsid w:val="00B44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C0D6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C0D6F"/>
    <w:rPr>
      <w:rFonts w:ascii="宋体" w:eastAsia="宋体" w:hAnsi="宋体" w:cs="宋体"/>
      <w:b/>
      <w:bCs/>
      <w:kern w:val="0"/>
      <w:sz w:val="36"/>
      <w:szCs w:val="36"/>
    </w:rPr>
  </w:style>
  <w:style w:type="character" w:customStyle="1" w:styleId="size">
    <w:name w:val="size"/>
    <w:basedOn w:val="a0"/>
    <w:rsid w:val="002C0D6F"/>
  </w:style>
  <w:style w:type="character" w:styleId="a3">
    <w:name w:val="Hyperlink"/>
    <w:basedOn w:val="a0"/>
    <w:uiPriority w:val="99"/>
    <w:semiHidden/>
    <w:unhideWhenUsed/>
    <w:rsid w:val="002C0D6F"/>
    <w:rPr>
      <w:color w:val="0000FF"/>
      <w:u w:val="single"/>
    </w:rPr>
  </w:style>
  <w:style w:type="character" w:customStyle="1" w:styleId="apple-converted-space">
    <w:name w:val="apple-converted-space"/>
    <w:basedOn w:val="a0"/>
    <w:rsid w:val="002C0D6F"/>
  </w:style>
  <w:style w:type="character" w:customStyle="1" w:styleId="share">
    <w:name w:val="share"/>
    <w:basedOn w:val="a0"/>
    <w:rsid w:val="002C0D6F"/>
  </w:style>
  <w:style w:type="paragraph" w:styleId="a4">
    <w:name w:val="Normal (Web)"/>
    <w:basedOn w:val="a"/>
    <w:uiPriority w:val="99"/>
    <w:semiHidden/>
    <w:unhideWhenUsed/>
    <w:rsid w:val="002C0D6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C0D6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C0D6F"/>
    <w:rPr>
      <w:rFonts w:ascii="宋体" w:eastAsia="宋体" w:hAnsi="宋体" w:cs="宋体"/>
      <w:b/>
      <w:bCs/>
      <w:kern w:val="0"/>
      <w:sz w:val="36"/>
      <w:szCs w:val="36"/>
    </w:rPr>
  </w:style>
  <w:style w:type="character" w:customStyle="1" w:styleId="size">
    <w:name w:val="size"/>
    <w:basedOn w:val="a0"/>
    <w:rsid w:val="002C0D6F"/>
  </w:style>
  <w:style w:type="character" w:styleId="a3">
    <w:name w:val="Hyperlink"/>
    <w:basedOn w:val="a0"/>
    <w:uiPriority w:val="99"/>
    <w:semiHidden/>
    <w:unhideWhenUsed/>
    <w:rsid w:val="002C0D6F"/>
    <w:rPr>
      <w:color w:val="0000FF"/>
      <w:u w:val="single"/>
    </w:rPr>
  </w:style>
  <w:style w:type="character" w:customStyle="1" w:styleId="apple-converted-space">
    <w:name w:val="apple-converted-space"/>
    <w:basedOn w:val="a0"/>
    <w:rsid w:val="002C0D6F"/>
  </w:style>
  <w:style w:type="character" w:customStyle="1" w:styleId="share">
    <w:name w:val="share"/>
    <w:basedOn w:val="a0"/>
    <w:rsid w:val="002C0D6F"/>
  </w:style>
  <w:style w:type="paragraph" w:styleId="a4">
    <w:name w:val="Normal (Web)"/>
    <w:basedOn w:val="a"/>
    <w:uiPriority w:val="99"/>
    <w:semiHidden/>
    <w:unhideWhenUsed/>
    <w:rsid w:val="002C0D6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495378">
      <w:bodyDiv w:val="1"/>
      <w:marLeft w:val="0"/>
      <w:marRight w:val="0"/>
      <w:marTop w:val="0"/>
      <w:marBottom w:val="0"/>
      <w:divBdr>
        <w:top w:val="none" w:sz="0" w:space="0" w:color="auto"/>
        <w:left w:val="none" w:sz="0" w:space="0" w:color="auto"/>
        <w:bottom w:val="none" w:sz="0" w:space="0" w:color="auto"/>
        <w:right w:val="none" w:sz="0" w:space="0" w:color="auto"/>
      </w:divBdr>
      <w:divsChild>
        <w:div w:id="192133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http://www.tpyzq.com/"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宋鹏</dc:creator>
  <cp:keywords/>
  <dc:description/>
  <cp:lastModifiedBy>宋鹏</cp:lastModifiedBy>
  <cp:revision>3</cp:revision>
  <dcterms:created xsi:type="dcterms:W3CDTF">2019-11-29T03:11:00Z</dcterms:created>
  <dcterms:modified xsi:type="dcterms:W3CDTF">2019-11-29T03:11:00Z</dcterms:modified>
</cp:coreProperties>
</file>