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31" w:rsidRDefault="008D193E">
      <w:pPr>
        <w:rPr>
          <w:color w:val="4C4C4C"/>
          <w:sz w:val="36"/>
          <w:szCs w:val="36"/>
          <w:shd w:val="clear" w:color="auto" w:fill="FFFFFF"/>
        </w:rPr>
      </w:pPr>
      <w:r>
        <w:rPr>
          <w:rFonts w:hint="eastAsia"/>
          <w:color w:val="4C4C4C"/>
          <w:sz w:val="36"/>
          <w:szCs w:val="36"/>
          <w:shd w:val="clear" w:color="auto" w:fill="FFFFFF"/>
        </w:rPr>
        <w:t>关于</w:t>
      </w:r>
      <w:proofErr w:type="gramStart"/>
      <w:r>
        <w:rPr>
          <w:rFonts w:hint="eastAsia"/>
          <w:color w:val="4C4C4C"/>
          <w:sz w:val="36"/>
          <w:szCs w:val="36"/>
          <w:shd w:val="clear" w:color="auto" w:fill="FFFFFF"/>
        </w:rPr>
        <w:t>国融证券国融</w:t>
      </w:r>
      <w:proofErr w:type="gramEnd"/>
      <w:r>
        <w:rPr>
          <w:rFonts w:hint="eastAsia"/>
          <w:color w:val="4C4C4C"/>
          <w:sz w:val="36"/>
          <w:szCs w:val="36"/>
          <w:shd w:val="clear" w:color="auto" w:fill="FFFFFF"/>
        </w:rPr>
        <w:t>安鑫</w:t>
      </w:r>
      <w:r>
        <w:rPr>
          <w:rFonts w:hint="eastAsia"/>
          <w:color w:val="4C4C4C"/>
          <w:sz w:val="36"/>
          <w:szCs w:val="36"/>
          <w:shd w:val="clear" w:color="auto" w:fill="FFFFFF"/>
        </w:rPr>
        <w:t>1</w:t>
      </w:r>
      <w:r>
        <w:rPr>
          <w:rFonts w:hint="eastAsia"/>
          <w:color w:val="4C4C4C"/>
          <w:sz w:val="36"/>
          <w:szCs w:val="36"/>
          <w:shd w:val="clear" w:color="auto" w:fill="FFFFFF"/>
        </w:rPr>
        <w:t>号集合资产管理计划第八次开放的提示公告</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根据《国融证券国融安鑫1号集合资产管理计划说明书》和《国融证券国融安鑫1号集合资产管理计划资产管理合同》的有关约定，现将国融证券国融安鑫1号集合资产管理计划第八次开放期的有关事项公告如下：</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1、本次开放期为2019年12月13日。</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2、委托人可在开放期间办理参与和退出集合计划。</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3、委托人可在国融证券国融安鑫1号集合资产管理计划原认购场所-国融证券营业网点、上海天天基金销售有限公司、民</w:t>
      </w:r>
      <w:proofErr w:type="gramStart"/>
      <w:r w:rsidRPr="008D193E">
        <w:rPr>
          <w:rFonts w:ascii="宋体" w:eastAsia="宋体" w:hAnsi="宋体" w:cs="宋体" w:hint="eastAsia"/>
          <w:color w:val="000000"/>
          <w:kern w:val="0"/>
          <w:sz w:val="24"/>
          <w:szCs w:val="24"/>
          <w:shd w:val="clear" w:color="auto" w:fill="FFFFFF"/>
        </w:rPr>
        <w:t>商基金</w:t>
      </w:r>
      <w:proofErr w:type="gramEnd"/>
      <w:r w:rsidRPr="008D193E">
        <w:rPr>
          <w:rFonts w:ascii="宋体" w:eastAsia="宋体" w:hAnsi="宋体" w:cs="宋体" w:hint="eastAsia"/>
          <w:color w:val="000000"/>
          <w:kern w:val="0"/>
          <w:sz w:val="24"/>
          <w:szCs w:val="24"/>
          <w:shd w:val="clear" w:color="auto" w:fill="FFFFFF"/>
        </w:rPr>
        <w:t>销售（上海）有限公司办理参与和退出业务。</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4、参与价格按“未知价”原则确定，即参与集合计划的单位价格以开放日当天的单位净值为基准进行计算。</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5、退出价格按“未知价”原则确定，即退出集合计划的价格以退出申请日集合计划的份额净值为基准计算。</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6、投资者在到期赎回日（T日）在</w:t>
      </w:r>
      <w:proofErr w:type="gramStart"/>
      <w:r w:rsidRPr="008D193E">
        <w:rPr>
          <w:rFonts w:ascii="宋体" w:eastAsia="宋体" w:hAnsi="宋体" w:cs="宋体" w:hint="eastAsia"/>
          <w:color w:val="000000"/>
          <w:kern w:val="0"/>
          <w:sz w:val="24"/>
          <w:szCs w:val="24"/>
          <w:shd w:val="clear" w:color="auto" w:fill="FFFFFF"/>
        </w:rPr>
        <w:t>原参与</w:t>
      </w:r>
      <w:proofErr w:type="gramEnd"/>
      <w:r w:rsidRPr="008D193E">
        <w:rPr>
          <w:rFonts w:ascii="宋体" w:eastAsia="宋体" w:hAnsi="宋体" w:cs="宋体" w:hint="eastAsia"/>
          <w:color w:val="000000"/>
          <w:kern w:val="0"/>
          <w:sz w:val="24"/>
          <w:szCs w:val="24"/>
          <w:shd w:val="clear" w:color="auto" w:fill="FFFFFF"/>
        </w:rPr>
        <w:t>网点，或登录</w:t>
      </w:r>
      <w:proofErr w:type="gramStart"/>
      <w:r w:rsidRPr="008D193E">
        <w:rPr>
          <w:rFonts w:ascii="宋体" w:eastAsia="宋体" w:hAnsi="宋体" w:cs="宋体" w:hint="eastAsia"/>
          <w:color w:val="000000"/>
          <w:kern w:val="0"/>
          <w:sz w:val="24"/>
          <w:szCs w:val="24"/>
          <w:shd w:val="clear" w:color="auto" w:fill="FFFFFF"/>
        </w:rPr>
        <w:t>原参与</w:t>
      </w:r>
      <w:proofErr w:type="gramEnd"/>
      <w:r w:rsidRPr="008D193E">
        <w:rPr>
          <w:rFonts w:ascii="宋体" w:eastAsia="宋体" w:hAnsi="宋体" w:cs="宋体" w:hint="eastAsia"/>
          <w:color w:val="000000"/>
          <w:kern w:val="0"/>
          <w:sz w:val="24"/>
          <w:szCs w:val="24"/>
          <w:shd w:val="clear" w:color="auto" w:fill="FFFFFF"/>
        </w:rPr>
        <w:t>推广机构指定的网络系统以自主下单的方式申请退出集合计划。</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8、国融证券国融安鑫1号集合资产管理计划不收取申购和退出费用。</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9、除非巨额退出，退出一般不受限制；如果发生巨额退出的情形时，退出办法参照本集合计划说明书的有关条款处理。</w:t>
      </w:r>
    </w:p>
    <w:p w:rsidR="008D193E" w:rsidRPr="008D193E" w:rsidRDefault="008D193E" w:rsidP="008D193E">
      <w:pPr>
        <w:widowControl/>
        <w:shd w:val="clear" w:color="auto" w:fill="FFFFFF"/>
        <w:spacing w:line="315" w:lineRule="atLeast"/>
        <w:ind w:firstLine="480"/>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10、本产品下一运作周期的业绩比较基准为5.85%/年（</w:t>
      </w:r>
      <w:proofErr w:type="gramStart"/>
      <w:r w:rsidRPr="008D193E">
        <w:rPr>
          <w:rFonts w:ascii="宋体" w:eastAsia="宋体" w:hAnsi="宋体" w:cs="宋体" w:hint="eastAsia"/>
          <w:color w:val="000000"/>
          <w:kern w:val="0"/>
          <w:sz w:val="24"/>
          <w:szCs w:val="24"/>
          <w:shd w:val="clear" w:color="auto" w:fill="FFFFFF"/>
        </w:rPr>
        <w:t>该业绩</w:t>
      </w:r>
      <w:proofErr w:type="gramEnd"/>
      <w:r w:rsidRPr="008D193E">
        <w:rPr>
          <w:rFonts w:ascii="宋体" w:eastAsia="宋体" w:hAnsi="宋体" w:cs="宋体" w:hint="eastAsia"/>
          <w:color w:val="000000"/>
          <w:kern w:val="0"/>
          <w:sz w:val="24"/>
          <w:szCs w:val="24"/>
          <w:shd w:val="clear" w:color="auto" w:fill="FFFFFF"/>
        </w:rPr>
        <w:t>比较基准并不是资产管理人向委托人保证其委托财产本金不受损失或者保证其取得最低收益的承诺，投资有风险，委托人仍可能会面临无法取得收益甚至损失本金的风险）。</w:t>
      </w:r>
    </w:p>
    <w:p w:rsidR="008D193E" w:rsidRPr="008D193E" w:rsidRDefault="008D193E" w:rsidP="008D193E">
      <w:pPr>
        <w:widowControl/>
        <w:shd w:val="clear" w:color="auto" w:fill="FFFFFF"/>
        <w:spacing w:line="315" w:lineRule="atLeast"/>
        <w:ind w:firstLine="480"/>
        <w:jc w:val="left"/>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国融安鑫1号申购代码对照表如下：</w:t>
      </w:r>
    </w:p>
    <w:tbl>
      <w:tblPr>
        <w:tblW w:w="8670" w:type="dxa"/>
        <w:shd w:val="clear" w:color="auto" w:fill="FFFFFF"/>
        <w:tblCellMar>
          <w:left w:w="0" w:type="dxa"/>
          <w:right w:w="0" w:type="dxa"/>
        </w:tblCellMar>
        <w:tblLook w:val="04A0" w:firstRow="1" w:lastRow="0" w:firstColumn="1" w:lastColumn="0" w:noHBand="0" w:noVBand="1"/>
      </w:tblPr>
      <w:tblGrid>
        <w:gridCol w:w="1683"/>
        <w:gridCol w:w="1335"/>
        <w:gridCol w:w="1485"/>
        <w:gridCol w:w="1921"/>
        <w:gridCol w:w="2246"/>
      </w:tblGrid>
      <w:tr w:rsidR="008D193E" w:rsidRPr="008D193E" w:rsidTr="008D193E">
        <w:trPr>
          <w:trHeight w:val="415"/>
        </w:trPr>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产品名称</w:t>
            </w:r>
          </w:p>
        </w:tc>
        <w:tc>
          <w:tcPr>
            <w:tcW w:w="13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代码</w:t>
            </w:r>
          </w:p>
        </w:tc>
        <w:tc>
          <w:tcPr>
            <w:tcW w:w="14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ind w:firstLine="375"/>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期限</w:t>
            </w:r>
          </w:p>
        </w:tc>
        <w:tc>
          <w:tcPr>
            <w:tcW w:w="1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投资限额</w:t>
            </w:r>
          </w:p>
        </w:tc>
        <w:tc>
          <w:tcPr>
            <w:tcW w:w="2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业绩比较基准（年化）</w:t>
            </w:r>
          </w:p>
        </w:tc>
      </w:tr>
      <w:tr w:rsidR="008D193E" w:rsidRPr="008D193E" w:rsidTr="008D193E">
        <w:trPr>
          <w:trHeight w:val="415"/>
        </w:trPr>
        <w:tc>
          <w:tcPr>
            <w:tcW w:w="1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国融安鑫1号</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D50010</w:t>
            </w:r>
          </w:p>
        </w:tc>
        <w:tc>
          <w:tcPr>
            <w:tcW w:w="1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ind w:firstLine="375"/>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3个月</w:t>
            </w:r>
          </w:p>
        </w:tc>
        <w:tc>
          <w:tcPr>
            <w:tcW w:w="1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100万元（含）以上</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93E" w:rsidRPr="008D193E" w:rsidRDefault="008D193E" w:rsidP="008D193E">
            <w:pPr>
              <w:widowControl/>
              <w:spacing w:line="300" w:lineRule="atLeast"/>
              <w:ind w:firstLine="375"/>
              <w:jc w:val="center"/>
              <w:rPr>
                <w:rFonts w:ascii="Calibri" w:eastAsia="宋体" w:hAnsi="Calibri" w:cs="宋体"/>
                <w:color w:val="4C4C4C"/>
                <w:kern w:val="0"/>
                <w:szCs w:val="21"/>
              </w:rPr>
            </w:pPr>
            <w:r w:rsidRPr="008D193E">
              <w:rPr>
                <w:rFonts w:ascii="宋体" w:eastAsia="宋体" w:hAnsi="宋体" w:cs="宋体" w:hint="eastAsia"/>
                <w:color w:val="000000"/>
                <w:kern w:val="0"/>
                <w:sz w:val="24"/>
                <w:szCs w:val="24"/>
              </w:rPr>
              <w:t>5.85%</w:t>
            </w:r>
          </w:p>
        </w:tc>
      </w:tr>
    </w:tbl>
    <w:p w:rsidR="008D193E" w:rsidRPr="008D193E" w:rsidRDefault="008D193E" w:rsidP="008D193E">
      <w:pPr>
        <w:widowControl/>
        <w:shd w:val="clear" w:color="auto" w:fill="FFFFFF"/>
        <w:spacing w:line="315" w:lineRule="atLeast"/>
        <w:ind w:firstLine="313"/>
        <w:jc w:val="left"/>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特此公告。</w:t>
      </w:r>
    </w:p>
    <w:p w:rsidR="008D193E" w:rsidRPr="008D193E" w:rsidRDefault="008D193E" w:rsidP="008D193E">
      <w:pPr>
        <w:widowControl/>
        <w:shd w:val="clear" w:color="auto" w:fill="FFFFFF"/>
        <w:spacing w:line="315" w:lineRule="atLeast"/>
        <w:ind w:firstLine="313"/>
        <w:jc w:val="right"/>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                       国融证券股份有限公司</w:t>
      </w:r>
    </w:p>
    <w:p w:rsidR="008D193E" w:rsidRPr="008D193E" w:rsidRDefault="008D193E" w:rsidP="008D193E">
      <w:pPr>
        <w:widowControl/>
        <w:shd w:val="clear" w:color="auto" w:fill="FFFFFF"/>
        <w:spacing w:line="315" w:lineRule="atLeast"/>
        <w:ind w:firstLine="313"/>
        <w:jc w:val="right"/>
        <w:rPr>
          <w:rFonts w:ascii="Calibri" w:eastAsia="宋体" w:hAnsi="Calibri" w:cs="宋体"/>
          <w:color w:val="4C4C4C"/>
          <w:kern w:val="0"/>
          <w:szCs w:val="21"/>
        </w:rPr>
      </w:pPr>
      <w:r w:rsidRPr="008D193E">
        <w:rPr>
          <w:rFonts w:ascii="宋体" w:eastAsia="宋体" w:hAnsi="宋体" w:cs="宋体" w:hint="eastAsia"/>
          <w:color w:val="000000"/>
          <w:kern w:val="0"/>
          <w:sz w:val="24"/>
          <w:szCs w:val="24"/>
          <w:shd w:val="clear" w:color="auto" w:fill="FFFFFF"/>
        </w:rPr>
        <w:t>                          2019年11月28日</w:t>
      </w:r>
    </w:p>
    <w:p w:rsidR="008D193E" w:rsidRDefault="008D193E">
      <w:pPr>
        <w:rPr>
          <w:rFonts w:hint="eastAsia"/>
        </w:rPr>
      </w:pPr>
      <w:bookmarkStart w:id="0" w:name="_GoBack"/>
      <w:bookmarkEnd w:id="0"/>
    </w:p>
    <w:sectPr w:rsidR="008D19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07"/>
    <w:rsid w:val="000D7207"/>
    <w:rsid w:val="00821B31"/>
    <w:rsid w:val="008D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5A24E-B1EC-495F-BD25-FAA99A8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9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倪雪</dc:creator>
  <cp:keywords/>
  <dc:description/>
  <cp:lastModifiedBy>倪雪</cp:lastModifiedBy>
  <cp:revision>2</cp:revision>
  <dcterms:created xsi:type="dcterms:W3CDTF">2019-11-29T05:47:00Z</dcterms:created>
  <dcterms:modified xsi:type="dcterms:W3CDTF">2019-11-29T05:47:00Z</dcterms:modified>
</cp:coreProperties>
</file>