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eastAsiaTheme="minorEastAsia"/>
          <w:b/>
        </w:rPr>
      </w:pPr>
      <w:r>
        <w:rPr>
          <w:rFonts w:hint="eastAsia" w:asciiTheme="minorEastAsia" w:hAnsiTheme="minorEastAsia" w:eastAsiaTheme="minorEastAsia"/>
          <w:b/>
        </w:rPr>
        <w:t xml:space="preserve">证券代码：000988　                                证券简称：华工科技 </w:t>
      </w:r>
    </w:p>
    <w:p>
      <w:pPr>
        <w:spacing w:line="360" w:lineRule="auto"/>
        <w:jc w:val="center"/>
        <w:rPr>
          <w:rFonts w:ascii="黑体" w:eastAsia="黑体"/>
          <w:b/>
          <w:sz w:val="32"/>
          <w:szCs w:val="32"/>
        </w:rPr>
      </w:pPr>
      <w:r>
        <w:rPr>
          <w:rFonts w:hint="eastAsia" w:ascii="黑体" w:eastAsia="黑体"/>
          <w:b/>
          <w:sz w:val="32"/>
          <w:szCs w:val="32"/>
        </w:rPr>
        <w:t>华工科技产业股份有限公司</w:t>
      </w:r>
    </w:p>
    <w:p>
      <w:pPr>
        <w:spacing w:before="120" w:beforeLines="50" w:after="120" w:afterLines="50" w:line="400" w:lineRule="exact"/>
        <w:jc w:val="center"/>
        <w:rPr>
          <w:rFonts w:ascii="黑体" w:hAnsi="黑体" w:eastAsia="黑体"/>
          <w:b/>
          <w:bCs/>
          <w:iCs/>
          <w:color w:val="000000"/>
          <w:sz w:val="32"/>
          <w:szCs w:val="32"/>
        </w:rPr>
      </w:pPr>
      <w:r>
        <w:rPr>
          <w:rFonts w:hint="eastAsia" w:ascii="黑体" w:hAnsi="黑体" w:eastAsia="黑体"/>
          <w:b/>
          <w:bCs/>
          <w:iCs/>
          <w:color w:val="000000"/>
          <w:sz w:val="32"/>
          <w:szCs w:val="32"/>
        </w:rPr>
        <w:t>投资者关系活动记录表</w:t>
      </w:r>
    </w:p>
    <w:p>
      <w:pPr>
        <w:spacing w:line="400" w:lineRule="exact"/>
        <w:rPr>
          <w:rFonts w:asciiTheme="minorEastAsia" w:hAnsiTheme="minorEastAsia" w:eastAsiaTheme="minorEastAsia"/>
          <w:bCs/>
          <w:iCs/>
          <w:color w:val="000000"/>
        </w:rPr>
      </w:pPr>
      <w:r>
        <w:rPr>
          <w:rFonts w:hint="eastAsia" w:asciiTheme="minorEastAsia" w:hAnsiTheme="minorEastAsia" w:eastAsiaTheme="minorEastAsia"/>
          <w:bCs/>
          <w:iCs/>
          <w:color w:val="000000"/>
        </w:rPr>
        <w:t xml:space="preserve">编号：2020-03                                         日期： 4月28日                                                        </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投资者关系活动类别</w:t>
            </w:r>
          </w:p>
          <w:p>
            <w:pPr>
              <w:spacing w:line="360" w:lineRule="auto"/>
              <w:rPr>
                <w:rFonts w:ascii="宋体" w:hAnsi="宋体" w:eastAsia="宋体" w:cs="宋体"/>
                <w:bCs/>
                <w:iCs/>
                <w:color w:val="000000"/>
              </w:rPr>
            </w:pP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rPr>
            </w:pPr>
            <w:r>
              <w:rPr>
                <w:rFonts w:hint="eastAsia" w:ascii="宋体" w:hAnsi="宋体" w:eastAsia="宋体" w:cs="宋体"/>
                <w:bCs/>
                <w:iCs/>
                <w:color w:val="000000"/>
              </w:rPr>
              <w:sym w:font="Wingdings 2" w:char="00A3"/>
            </w:r>
            <w:r>
              <w:rPr>
                <w:rFonts w:hint="eastAsia" w:ascii="宋体" w:hAnsi="宋体" w:eastAsia="宋体" w:cs="宋体"/>
              </w:rPr>
              <w:t xml:space="preserve">特定对象调研      </w:t>
            </w:r>
            <w:bookmarkStart w:id="0" w:name="_GoBack"/>
            <w:bookmarkEnd w:id="0"/>
            <w:r>
              <w:rPr>
                <w:rFonts w:hint="eastAsia" w:ascii="宋体" w:hAnsi="宋体" w:eastAsia="宋体" w:cs="宋体"/>
                <w:bCs/>
                <w:iCs/>
                <w:color w:val="000000"/>
              </w:rPr>
              <w:t>□</w:t>
            </w:r>
            <w:r>
              <w:rPr>
                <w:rFonts w:hint="eastAsia" w:ascii="宋体" w:hAnsi="宋体" w:eastAsia="宋体" w:cs="宋体"/>
              </w:rPr>
              <w:t>分析师会议</w:t>
            </w:r>
            <w:r>
              <w:rPr>
                <w:rFonts w:hint="eastAsia" w:ascii="宋体" w:hAnsi="宋体" w:eastAsia="宋体" w:cs="宋体"/>
                <w:bCs/>
                <w:iCs/>
                <w:color w:val="000000"/>
              </w:rPr>
              <w:t xml:space="preserve">        □</w:t>
            </w:r>
            <w:r>
              <w:rPr>
                <w:rFonts w:hint="eastAsia" w:ascii="宋体" w:hAnsi="宋体" w:eastAsia="宋体" w:cs="宋体"/>
              </w:rPr>
              <w:t>媒体采访</w:t>
            </w:r>
          </w:p>
          <w:p>
            <w:pPr>
              <w:spacing w:line="360" w:lineRule="auto"/>
              <w:rPr>
                <w:rFonts w:ascii="宋体" w:hAnsi="宋体" w:eastAsia="宋体" w:cs="宋体"/>
                <w:bCs/>
                <w:iCs/>
                <w:color w:val="000000"/>
              </w:rPr>
            </w:pPr>
            <w:r>
              <w:rPr>
                <w:rFonts w:hint="eastAsia" w:ascii="宋体" w:hAnsi="宋体" w:eastAsia="宋体" w:cs="宋体"/>
                <w:bCs/>
                <w:iCs/>
                <w:color w:val="000000"/>
              </w:rPr>
              <w:sym w:font="Wingdings 2" w:char="0052"/>
            </w:r>
            <w:r>
              <w:rPr>
                <w:rFonts w:hint="eastAsia" w:ascii="宋体" w:hAnsi="宋体" w:eastAsia="宋体" w:cs="宋体"/>
              </w:rPr>
              <w:t>业绩说明会</w:t>
            </w:r>
            <w:r>
              <w:rPr>
                <w:rFonts w:hint="eastAsia" w:ascii="宋体" w:hAnsi="宋体" w:eastAsia="宋体" w:cs="宋体"/>
                <w:bCs/>
                <w:iCs/>
                <w:color w:val="000000"/>
              </w:rPr>
              <w:t xml:space="preserve">        □</w:t>
            </w:r>
            <w:r>
              <w:rPr>
                <w:rFonts w:hint="eastAsia" w:ascii="宋体" w:hAnsi="宋体" w:eastAsia="宋体" w:cs="宋体"/>
              </w:rPr>
              <w:t xml:space="preserve">新闻发布会        </w:t>
            </w:r>
            <w:r>
              <w:rPr>
                <w:rFonts w:hint="eastAsia" w:ascii="宋体" w:hAnsi="宋体" w:eastAsia="宋体" w:cs="宋体"/>
                <w:bCs/>
                <w:iCs/>
                <w:color w:val="000000"/>
              </w:rPr>
              <w:t>□</w:t>
            </w:r>
            <w:r>
              <w:rPr>
                <w:rFonts w:hint="eastAsia" w:ascii="宋体" w:hAnsi="宋体" w:eastAsia="宋体" w:cs="宋体"/>
              </w:rPr>
              <w:t>路演活动</w:t>
            </w:r>
          </w:p>
          <w:p>
            <w:pPr>
              <w:tabs>
                <w:tab w:val="left" w:pos="3045"/>
                <w:tab w:val="center" w:pos="3199"/>
              </w:tabs>
              <w:spacing w:line="360" w:lineRule="auto"/>
              <w:rPr>
                <w:rFonts w:ascii="宋体" w:hAnsi="宋体" w:eastAsia="宋体" w:cs="宋体"/>
                <w:bCs/>
                <w:iCs/>
                <w:color w:val="000000"/>
              </w:rPr>
            </w:pPr>
            <w:r>
              <w:rPr>
                <w:rFonts w:hint="eastAsia" w:ascii="宋体" w:hAnsi="宋体" w:eastAsia="宋体" w:cs="宋体"/>
                <w:bCs/>
                <w:iCs/>
                <w:color w:val="000000"/>
              </w:rPr>
              <w:t>□</w:t>
            </w:r>
            <w:r>
              <w:rPr>
                <w:rFonts w:hint="eastAsia" w:ascii="宋体" w:hAnsi="宋体" w:eastAsia="宋体" w:cs="宋体"/>
              </w:rPr>
              <w:t>现场参观</w:t>
            </w:r>
            <w:r>
              <w:rPr>
                <w:rFonts w:hint="eastAsia" w:ascii="宋体" w:hAnsi="宋体" w:eastAsia="宋体" w:cs="宋体"/>
                <w:bCs/>
                <w:iCs/>
                <w:color w:val="000000"/>
              </w:rPr>
              <w:t xml:space="preserve">           □</w:t>
            </w:r>
            <w:r>
              <w:rPr>
                <w:rFonts w:hint="eastAsia" w:ascii="宋体" w:hAnsi="宋体" w:eastAsia="宋体" w:cs="宋体"/>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参与单位名称及人员姓名</w:t>
            </w: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s="宋体"/>
                <w:bCs/>
                <w:iCs/>
                <w:lang w:eastAsia="zh-CN"/>
              </w:rPr>
            </w:pPr>
            <w:r>
              <w:rPr>
                <w:rFonts w:hint="eastAsia" w:ascii="宋体" w:hAnsi="宋体" w:eastAsia="宋体" w:cs="宋体"/>
                <w:bCs/>
                <w:iCs/>
              </w:rPr>
              <w:t>会议以网络形式召开，参会人数</w:t>
            </w:r>
            <w:r>
              <w:rPr>
                <w:rFonts w:hint="eastAsia" w:ascii="宋体" w:hAnsi="宋体" w:eastAsia="宋体" w:cs="宋体"/>
                <w:bCs/>
                <w:iCs/>
                <w:lang w:val="en-US" w:eastAsia="zh-CN"/>
              </w:rPr>
              <w:t>合计</w:t>
            </w:r>
            <w:r>
              <w:rPr>
                <w:rFonts w:hint="eastAsia" w:ascii="宋体" w:hAnsi="宋体" w:eastAsia="宋体" w:cs="宋体"/>
                <w:bCs/>
                <w:iCs/>
              </w:rPr>
              <w:t>342人，其中机构219人，个人投资者123人</w:t>
            </w:r>
            <w:r>
              <w:rPr>
                <w:rFonts w:hint="eastAsia" w:ascii="宋体" w:hAnsi="宋体" w:eastAsia="宋体" w:cs="宋体"/>
                <w:bCs/>
                <w:iCs/>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时间</w:t>
            </w: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2020年4月28日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地点</w:t>
            </w: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rPr>
              <w:t>公司二楼会议室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上市公司接待人员姓名</w:t>
            </w:r>
          </w:p>
        </w:tc>
        <w:tc>
          <w:tcPr>
            <w:tcW w:w="6614" w:type="dxa"/>
            <w:tcBorders>
              <w:top w:val="single" w:color="auto" w:sz="4" w:space="0"/>
              <w:left w:val="single" w:color="auto" w:sz="4" w:space="0"/>
              <w:bottom w:val="single" w:color="auto" w:sz="4" w:space="0"/>
              <w:right w:val="single" w:color="auto" w:sz="4" w:space="0"/>
            </w:tcBorders>
          </w:tcPr>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华工科技 董事/副总经理/财务总监/董秘：刘含树</w:t>
            </w:r>
          </w:p>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华工激光 总经理：邓家科</w:t>
            </w:r>
          </w:p>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华工正源 总经理：胡长飞</w:t>
            </w:r>
          </w:p>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华工投资 总经理：张丽华</w:t>
            </w:r>
          </w:p>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华工科技 投关总监：安欣</w:t>
            </w:r>
          </w:p>
          <w:p>
            <w:pPr>
              <w:numPr>
                <w:ilvl w:val="0"/>
                <w:numId w:val="1"/>
              </w:numPr>
              <w:spacing w:line="360" w:lineRule="auto"/>
              <w:rPr>
                <w:rFonts w:ascii="宋体" w:hAnsi="宋体" w:eastAsia="宋体" w:cs="宋体"/>
                <w:bCs/>
                <w:iCs/>
                <w:color w:val="000000"/>
              </w:rPr>
            </w:pPr>
            <w:r>
              <w:rPr>
                <w:rFonts w:hint="eastAsia" w:ascii="宋体" w:hAnsi="宋体" w:eastAsia="宋体" w:cs="宋体"/>
                <w:bCs/>
                <w:iCs/>
                <w:color w:val="000000"/>
              </w:rPr>
              <w:t>华工科技 证券事务代表：姚永川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iCs/>
                <w:color w:val="000000"/>
              </w:rPr>
            </w:pPr>
            <w:r>
              <w:rPr>
                <w:rFonts w:hint="eastAsia" w:ascii="宋体" w:hAnsi="宋体" w:eastAsia="宋体" w:cs="宋体"/>
                <w:bCs/>
                <w:iCs/>
                <w:color w:val="000000"/>
              </w:rPr>
              <w:t>投资者关系活动主要内容介绍</w:t>
            </w:r>
          </w:p>
          <w:p>
            <w:pPr>
              <w:spacing w:line="360" w:lineRule="auto"/>
              <w:rPr>
                <w:rFonts w:ascii="宋体" w:hAnsi="宋体" w:eastAsia="宋体" w:cs="宋体"/>
                <w:bCs/>
                <w:iCs/>
                <w:color w:val="000000"/>
              </w:rPr>
            </w:pPr>
          </w:p>
        </w:tc>
        <w:tc>
          <w:tcPr>
            <w:tcW w:w="6614"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eastAsia="宋体" w:cs="宋体"/>
                <w:b/>
                <w:bCs/>
                <w:iCs/>
                <w:color w:val="000000"/>
              </w:rPr>
            </w:pPr>
            <w:r>
              <w:rPr>
                <w:rFonts w:hint="eastAsia" w:ascii="宋体" w:hAnsi="宋体" w:eastAsia="宋体" w:cs="宋体"/>
                <w:bCs/>
                <w:iCs/>
                <w:color w:val="000000"/>
              </w:rPr>
              <w:t>交流过程中，公司参会人员严格按照有关制度规定，没有出现未公开重大信息泄露等情况。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908" w:type="dxa"/>
            <w:tcBorders>
              <w:top w:val="single" w:color="auto" w:sz="4" w:space="0"/>
              <w:left w:val="single" w:color="auto" w:sz="4" w:space="0"/>
              <w:right w:val="single" w:color="auto" w:sz="4" w:space="0"/>
            </w:tcBorders>
            <w:vAlign w:val="center"/>
          </w:tcPr>
          <w:p>
            <w:pPr>
              <w:spacing w:line="360" w:lineRule="auto"/>
              <w:rPr>
                <w:rFonts w:ascii="宋体" w:hAnsi="宋体" w:eastAsia="宋体" w:cs="宋体"/>
                <w:bCs/>
                <w:iCs/>
                <w:color w:val="000000"/>
              </w:rPr>
            </w:pPr>
            <w:r>
              <w:rPr>
                <w:rFonts w:hint="eastAsia" w:ascii="宋体" w:hAnsi="宋体" w:eastAsia="宋体" w:cs="宋体"/>
                <w:bCs/>
                <w:iCs/>
                <w:color w:val="000000"/>
              </w:rPr>
              <w:t>附件清单（如有）</w:t>
            </w:r>
          </w:p>
        </w:tc>
        <w:tc>
          <w:tcPr>
            <w:tcW w:w="6614" w:type="dxa"/>
            <w:tcBorders>
              <w:top w:val="single" w:color="auto" w:sz="4" w:space="0"/>
              <w:left w:val="single" w:color="auto" w:sz="4" w:space="0"/>
              <w:right w:val="single" w:color="auto" w:sz="4" w:space="0"/>
            </w:tcBorders>
          </w:tcPr>
          <w:p>
            <w:pPr>
              <w:spacing w:line="360" w:lineRule="auto"/>
              <w:rPr>
                <w:rFonts w:ascii="宋体" w:hAnsi="宋体" w:eastAsia="宋体" w:cs="宋体"/>
                <w:bCs/>
                <w:iCs/>
                <w:color w:val="000000"/>
              </w:rPr>
            </w:pPr>
            <w:r>
              <w:rPr>
                <w:rFonts w:hint="eastAsia" w:ascii="宋体" w:hAnsi="宋体" w:eastAsia="宋体" w:cs="宋体"/>
                <w:bCs/>
                <w:iCs/>
                <w:color w:val="000000"/>
              </w:rPr>
              <w:t>调研活动安排</w:t>
            </w:r>
          </w:p>
        </w:tc>
      </w:tr>
    </w:tbl>
    <w:p>
      <w:pPr>
        <w:spacing w:line="360" w:lineRule="auto"/>
        <w:rPr>
          <w:rFonts w:ascii="黑体" w:hAnsi="黑体" w:eastAsia="黑体" w:cs="宋体"/>
          <w:color w:val="000000"/>
          <w:sz w:val="32"/>
          <w:shd w:val="clear" w:color="auto" w:fill="FFFFFF"/>
        </w:rPr>
      </w:pPr>
    </w:p>
    <w:p>
      <w:pPr>
        <w:spacing w:after="240" w:line="460" w:lineRule="exact"/>
        <w:rPr>
          <w:rFonts w:ascii="宋体" w:hAnsi="宋体" w:eastAsia="宋体" w:cs="宋体"/>
          <w:b/>
          <w:bCs/>
          <w:sz w:val="28"/>
          <w:szCs w:val="28"/>
        </w:rPr>
        <w:sectPr>
          <w:pgSz w:w="12240" w:h="15840"/>
          <w:pgMar w:top="1440" w:right="1800" w:bottom="1440" w:left="1800" w:header="720" w:footer="720" w:gutter="0"/>
          <w:cols w:space="720" w:num="1"/>
        </w:sectPr>
      </w:pPr>
    </w:p>
    <w:p>
      <w:pPr>
        <w:spacing w:after="240" w:line="460" w:lineRule="exact"/>
        <w:rPr>
          <w:rFonts w:hint="eastAsia" w:ascii="宋体" w:hAnsi="宋体" w:eastAsia="宋体" w:cs="宋体"/>
          <w:b/>
          <w:bCs/>
          <w:sz w:val="28"/>
          <w:szCs w:val="28"/>
        </w:rPr>
      </w:pPr>
      <w:r>
        <w:rPr>
          <w:rFonts w:hint="eastAsia" w:ascii="宋体" w:hAnsi="宋体" w:eastAsia="宋体" w:cs="宋体"/>
          <w:b/>
          <w:bCs/>
          <w:sz w:val="28"/>
          <w:szCs w:val="28"/>
        </w:rPr>
        <w:t>会议纪要：</w:t>
      </w:r>
    </w:p>
    <w:p>
      <w:pPr>
        <w:spacing w:line="460" w:lineRule="exact"/>
        <w:ind w:firstLine="480" w:firstLineChars="200"/>
        <w:rPr>
          <w:rFonts w:hint="eastAsia" w:ascii="宋体" w:hAnsi="宋体" w:eastAsia="宋体" w:cs="宋体"/>
        </w:rPr>
      </w:pPr>
      <w:r>
        <w:rPr>
          <w:rFonts w:hint="eastAsia" w:ascii="宋体" w:hAnsi="宋体" w:eastAsia="宋体" w:cs="宋体"/>
        </w:rPr>
        <w:t>华工科技董事、副总裁、财务总监、董秘刘含树主持了会议。</w:t>
      </w:r>
    </w:p>
    <w:p>
      <w:pPr>
        <w:spacing w:line="460" w:lineRule="exact"/>
        <w:ind w:firstLine="482" w:firstLineChars="200"/>
        <w:rPr>
          <w:rFonts w:hint="eastAsia" w:ascii="宋体" w:hAnsi="宋体" w:eastAsia="宋体" w:cs="宋体"/>
          <w:b/>
          <w:bCs/>
        </w:rPr>
      </w:pPr>
      <w:r>
        <w:rPr>
          <w:rFonts w:hint="eastAsia" w:ascii="宋体" w:hAnsi="宋体" w:eastAsia="宋体" w:cs="宋体"/>
          <w:b/>
          <w:bCs/>
        </w:rPr>
        <w:t>一、首先公司投关总监安欣女士用PPT的形式为大家介绍了公司2019年度以及2020年一季度的业绩情况：</w:t>
      </w:r>
    </w:p>
    <w:p>
      <w:pPr>
        <w:spacing w:line="460" w:lineRule="exact"/>
        <w:ind w:firstLine="480" w:firstLineChars="200"/>
        <w:rPr>
          <w:rFonts w:hint="eastAsia" w:ascii="宋体" w:hAnsi="宋体" w:eastAsia="宋体" w:cs="宋体"/>
        </w:rPr>
      </w:pPr>
      <w:r>
        <w:rPr>
          <w:rFonts w:hint="eastAsia" w:ascii="宋体" w:hAnsi="宋体" w:eastAsia="宋体" w:cs="宋体"/>
          <w:color w:val="000000"/>
        </w:rPr>
        <w:t>2019年，面对错综复杂的国内外经济形势，华工科技保持“向高端制造、服务型制造转型”的战略定力，在“积极发展，有效管控，全面提升经营质量”的经营方针下，</w:t>
      </w:r>
      <w:r>
        <w:rPr>
          <w:rFonts w:hint="eastAsia" w:ascii="宋体" w:hAnsi="宋体" w:eastAsia="宋体" w:cs="宋体"/>
        </w:rPr>
        <w:t>面向价值客户精准发力，不遗余力提高市场份额，坚持开放式创新，进一步推动产品结构转型升级，通过管理效率、资产效率、制造效率的全面提升，驶入高质量发展通道。公司实现营业收入54.6亿元，同比增长4.35%，归母净利润5.03亿元，同比增长了77.28%，剔除交易性金融资产影响，扣非后净利润2.39亿元，同比增长了21.76%，经营性现金流净流入4.13亿元，同比增长782.13%，经营质量显著提升。</w:t>
      </w:r>
    </w:p>
    <w:p>
      <w:pPr>
        <w:spacing w:line="460" w:lineRule="exact"/>
        <w:ind w:firstLine="480" w:firstLineChars="200"/>
        <w:rPr>
          <w:rFonts w:hint="eastAsia" w:ascii="宋体" w:hAnsi="宋体" w:eastAsia="宋体" w:cs="宋体"/>
        </w:rPr>
      </w:pPr>
      <w:r>
        <w:rPr>
          <w:rFonts w:hint="eastAsia" w:ascii="宋体" w:hAnsi="宋体" w:eastAsia="宋体" w:cs="宋体"/>
        </w:rPr>
        <w:t>华工科技以“激光技术及其应用为主业”，涵盖能量激光、信息激光和传感器三大领域。</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color w:val="000000"/>
        </w:rPr>
        <w:t>1、能量激光</w:t>
      </w:r>
      <w:r>
        <w:rPr>
          <w:rFonts w:hint="eastAsia" w:ascii="宋体" w:hAnsi="宋体" w:eastAsia="宋体" w:cs="宋体"/>
          <w:color w:val="000000"/>
        </w:rPr>
        <w:t>以华工激光为主，占到华工科技整体营收的32%。 2019</w:t>
      </w:r>
      <w:r>
        <w:rPr>
          <w:rFonts w:hint="eastAsia" w:ascii="宋体" w:hAnsi="宋体" w:eastAsia="宋体" w:cs="宋体"/>
          <w:color w:val="000000"/>
        </w:rPr>
        <w:t>年，激光整体业务收入17.23亿元，同比下降3.08%，毛利率35.33%,同比下降2.73%，净利润与同期基本持平。</w:t>
      </w:r>
    </w:p>
    <w:p>
      <w:pPr>
        <w:spacing w:line="460" w:lineRule="exact"/>
        <w:ind w:firstLine="482" w:firstLineChars="200"/>
        <w:rPr>
          <w:rFonts w:hint="eastAsia" w:ascii="宋体" w:hAnsi="宋体" w:eastAsia="宋体" w:cs="宋体"/>
        </w:rPr>
      </w:pPr>
      <w:r>
        <w:rPr>
          <w:rFonts w:hint="eastAsia" w:ascii="宋体" w:hAnsi="宋体" w:eastAsia="宋体" w:cs="宋体"/>
          <w:b/>
        </w:rPr>
        <w:t>智能装备事业群</w:t>
      </w:r>
      <w:r>
        <w:rPr>
          <w:rFonts w:hint="eastAsia" w:ascii="宋体" w:hAnsi="宋体" w:eastAsia="宋体" w:cs="宋体"/>
        </w:rPr>
        <w:t>在全球汽车市场低迷的背景下，深挖新能源汽车市场焊装线需求，承接线体项目扩大了在汽车行业的市场份额；奥博系列--三维五轴高速激光切割、GF系列--经济型激光切割机、MARVEL系列15000</w:t>
      </w:r>
      <w:r>
        <w:rPr>
          <w:rFonts w:hint="eastAsia" w:ascii="宋体" w:hAnsi="宋体" w:eastAsia="宋体" w:cs="宋体"/>
        </w:rPr>
        <w:t>瓦超高速激光切割平台、LT系列全自动激光切管机、全自动集成料库等系列产品升级，标准化。国内外市场激光切割产品销售收入较上年增长30%。公司瞄准激光在智能制造领域的发展方向，整合内外部资源，抢先布局实现行业突破。公司加快募投项目建设，已建成“智能制造产业园”+“智能装备产业园”，为产能扩充打下了坚实基础。</w:t>
      </w:r>
    </w:p>
    <w:p>
      <w:pPr>
        <w:spacing w:line="460" w:lineRule="exact"/>
        <w:ind w:firstLine="482" w:firstLineChars="200"/>
        <w:rPr>
          <w:rFonts w:hint="eastAsia" w:ascii="宋体" w:hAnsi="宋体" w:eastAsia="宋体" w:cs="宋体"/>
        </w:rPr>
      </w:pPr>
      <w:r>
        <w:rPr>
          <w:rFonts w:hint="eastAsia" w:ascii="宋体" w:hAnsi="宋体" w:eastAsia="宋体" w:cs="宋体"/>
          <w:b/>
        </w:rPr>
        <w:t>激光精密事业群</w:t>
      </w:r>
      <w:r>
        <w:rPr>
          <w:rFonts w:hint="eastAsia" w:ascii="宋体" w:hAnsi="宋体" w:eastAsia="宋体" w:cs="宋体"/>
        </w:rPr>
        <w:t>启动“激光+智能制造”转型，外部开拓智能产线项目，内部上线设备管理智能化云平台。公司产品实现从单机工作站向“激光+自动化”转型，自动化类合同订单同比大幅增长。焊接产品、玻璃切割行业专机、切割及PCB产品成为新的增长点；标记产品通过细分行业挖掘，在无线充、5G滤波器、激光清洗、自动化等行业订单取得突破。公司产销规模降幅低于行业整体。</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color w:val="000000"/>
        </w:rPr>
        <w:t>2、信息激光</w:t>
      </w:r>
      <w:r>
        <w:rPr>
          <w:rFonts w:hint="eastAsia" w:ascii="宋体" w:hAnsi="宋体" w:eastAsia="宋体" w:cs="宋体"/>
          <w:color w:val="000000"/>
        </w:rPr>
        <w:t>以华工正源的光通信业务为主，占到公司整体营收的40%。2019年，光通信业务收入21.82亿元，同期基本持平，毛利率14</w:t>
      </w:r>
      <w:r>
        <w:rPr>
          <w:rFonts w:hint="eastAsia" w:ascii="宋体" w:hAnsi="宋体" w:eastAsia="宋体" w:cs="宋体"/>
          <w:color w:val="000000"/>
        </w:rPr>
        <w:t>.6%，同比提升5.98个百分点，从数据来看，光通讯业务规模下降主要是受智能终端业务下降的影响，毛利率的提升主要来源于5G高端光模块的贡献。</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rPr>
        <w:t>有源光模块业务</w:t>
      </w:r>
      <w:r>
        <w:rPr>
          <w:rFonts w:hint="eastAsia" w:ascii="宋体" w:hAnsi="宋体" w:eastAsia="宋体" w:cs="宋体"/>
        </w:rPr>
        <w:t>紧抓中国5G商用元年基站建设的市场契机，实现5G产品全覆盖，25G光模块产品已成功导入全球四大设备商，蝉联华为“全球金牌供应商奖”、中兴“最佳综合绩效奖”。</w:t>
      </w:r>
      <w:r>
        <w:rPr>
          <w:rFonts w:hint="eastAsia" w:ascii="宋体" w:hAnsi="宋体" w:eastAsia="宋体" w:cs="宋体"/>
          <w:b/>
          <w:bCs/>
        </w:rPr>
        <w:t>数据中心业务</w:t>
      </w:r>
      <w:r>
        <w:rPr>
          <w:rFonts w:hint="eastAsia" w:ascii="宋体" w:hAnsi="宋体" w:eastAsia="宋体" w:cs="宋体"/>
        </w:rPr>
        <w:t>方面，通过技术攻关100G双速率产品已经在海外批量发货，400G系</w:t>
      </w:r>
      <w:r>
        <w:rPr>
          <w:rFonts w:hint="eastAsia" w:ascii="宋体" w:hAnsi="宋体" w:eastAsia="宋体" w:cs="宋体"/>
          <w:color w:val="000000"/>
        </w:rPr>
        <w:t>列产品开始小批量试产，下一代数据中心领域的核心技术已启动研发，实现了产品结构的快速升级和客户突破。</w:t>
      </w:r>
      <w:r>
        <w:rPr>
          <w:rFonts w:hint="eastAsia" w:ascii="宋体" w:hAnsi="宋体" w:eastAsia="宋体" w:cs="宋体"/>
          <w:b/>
          <w:color w:val="000000"/>
        </w:rPr>
        <w:t>智能终端业务</w:t>
      </w:r>
      <w:r>
        <w:rPr>
          <w:rFonts w:hint="eastAsia" w:ascii="宋体" w:hAnsi="宋体" w:eastAsia="宋体" w:cs="宋体"/>
          <w:color w:val="000000"/>
        </w:rPr>
        <w:t>，光猫、路由器、机顶盒、融合网关产品和客户结构多元化取得突破。净利润实现扭亏。</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color w:val="000000"/>
        </w:rPr>
        <w:t>华工图像的激光防伪业务</w:t>
      </w:r>
      <w:r>
        <w:rPr>
          <w:rFonts w:hint="eastAsia" w:ascii="宋体" w:hAnsi="宋体" w:eastAsia="宋体" w:cs="宋体"/>
          <w:color w:val="000000"/>
        </w:rPr>
        <w:t>，占到公司整体营收的7%。2019年，激光全息防伪业务收入3.77亿元，同比增长14.41%，毛利率46.11%，下降8个百分点。公司产品受烟草行业发展形势的影响，销售价格出现明显下滑；再者，公司通过产品战略转型，纸张业务上量，实现了从过去单一烟草行业应用向白酒、医药、日化、证卡等行业领域拓展的新业务格局，但纸张业务相对毛利偏低，从而导致综合毛利率水平降低。公司新技术、新产品持续引领新行业、新市场，新品销售贡献率42.5%，公司营收规模将快速提升。</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color w:val="000000"/>
        </w:rPr>
        <w:t>3、传感器业务</w:t>
      </w:r>
      <w:r>
        <w:rPr>
          <w:rFonts w:hint="eastAsia" w:ascii="宋体" w:hAnsi="宋体" w:eastAsia="宋体" w:cs="宋体"/>
          <w:color w:val="000000"/>
        </w:rPr>
        <w:t>以华工高理为核心，在整体营收中占比18%。2019年，传感器业务销售收入10亿元，同比增长17.18%，毛利率23.07%，下降2</w:t>
      </w:r>
      <w:r>
        <w:rPr>
          <w:rFonts w:hint="eastAsia" w:ascii="宋体" w:hAnsi="宋体" w:eastAsia="宋体" w:cs="宋体"/>
          <w:color w:val="000000"/>
        </w:rPr>
        <w:t>个百分点，但净利润同比增长25.33%。家电行业整体下滑明显，但公司在巩固现有份额的同时，实现传统空调业务小幅增长；大客户冰洗、生活电器业务同比大幅增长；高温类温度传感器进入工业探温领域；进入国家电网智能电表项目；实现国际家电四巨头全面覆盖。智能电网和国际市场成为公司新的增长点。公司在新能源汽车等领域聚焦发力，业务量实现翻番。</w:t>
      </w: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4、</w:t>
      </w:r>
      <w:r>
        <w:rPr>
          <w:rFonts w:hint="eastAsia" w:ascii="宋体" w:hAnsi="宋体" w:eastAsia="宋体" w:cs="宋体"/>
          <w:b/>
          <w:color w:val="000000"/>
        </w:rPr>
        <w:t>2020年一季度经营情况：</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岁末年初，突如其来的新冠疫情，对我国2020年第一季度的经济发展造成了明显的冲击，公司总部位于湖北武汉，不可避免地受到了较大影响。公司一季度实现营业收入7.59亿元，同比下降34.04%，归属母公司净利润亏损1176万元，同比下降111.77%。导致归母净利润亏损的主要原因是公司所持交易性金融资产股价下跌导致，扣非后净利润是盈利1238万元，同比下降76.26%。经营性现金流净额同比增长18.08%，资产负债率33.12%。公司在3月11日已全面有序复工复产，各项业务已步入正轨，全体员工正以饱满的工作热情投入到二季度的追赶计划中。</w:t>
      </w:r>
    </w:p>
    <w:p>
      <w:pPr>
        <w:spacing w:line="460" w:lineRule="exact"/>
        <w:ind w:firstLine="480" w:firstLineChars="200"/>
        <w:rPr>
          <w:rFonts w:hint="eastAsia" w:ascii="宋体" w:hAnsi="宋体" w:eastAsia="宋体" w:cs="宋体"/>
          <w:color w:val="000000"/>
        </w:rPr>
      </w:pPr>
    </w:p>
    <w:p>
      <w:pPr>
        <w:spacing w:before="120" w:beforeLines="50" w:after="120" w:afterLines="50"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二、董秘刘含树先生进一步梳理和总结：</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华工科技1999年成立、2000年上市，以“激光技术及其应用”为主业，践行“为制造的更高荣耀”企业使命，从年销售额不足8000万的校办企业起步，成长为国家级创新型企业、国家高新技术企业，已经走过了20年的风雨历程。2019年，无论是经营数据还是资产质量都已进入最好的时期，步入了高质量发展的通道。</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公司秉持 “以创新为动力，以市场为导向，以客户为中心”的经营理念，落实马董事长提出的“好产品、好市场、好管控”，着力做了以下几方面工作：</w:t>
      </w: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1、保障好产品</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a.</w:t>
      </w:r>
      <w:r>
        <w:rPr>
          <w:rFonts w:hint="eastAsia" w:ascii="宋体" w:hAnsi="宋体" w:eastAsia="宋体" w:cs="宋体"/>
          <w:bCs/>
          <w:color w:val="000000"/>
        </w:rPr>
        <w:t>研发体系建设</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华工科技通过20年来的技术探索，在能量激光、信息激光及传感器领域不断创新，已建立了较为完善的研发体系，为公司储备关键技术与产品打下了坚实的基础。去年，公司成立了华工科技中央研究院，以平台虚拟化、功能实体化的模式，对公司的研发体系进行了完整的梳理和重构，为公司未来发展提供更好的牵引和支持。</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b.</w:t>
      </w:r>
      <w:r>
        <w:rPr>
          <w:rFonts w:hint="eastAsia" w:ascii="宋体" w:hAnsi="宋体" w:eastAsia="宋体" w:cs="宋体"/>
          <w:bCs/>
          <w:color w:val="000000"/>
        </w:rPr>
        <w:t>研发投入</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华工科技对标国际一流企业，持续保持研发高投入且逐年增加，每年获得国家项目支持上亿元，全部用于公司技术研发，为增强公司创新发展能力注入新动能，不断推出新技术、新产品、进入新市场，助力公司核心竞争力进一步提升。</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c.</w:t>
      </w:r>
      <w:r>
        <w:rPr>
          <w:rFonts w:hint="eastAsia" w:ascii="宋体" w:hAnsi="宋体" w:eastAsia="宋体" w:cs="宋体"/>
          <w:bCs/>
          <w:color w:val="000000"/>
        </w:rPr>
        <w:t>平台建设</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公司依托多个国家级研发平台，以及募投产业基地建设，已形成了制造平台和研发平台的全面配置，为持续完善公司经营体系提供了有力支撑。</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d.</w:t>
      </w:r>
      <w:r>
        <w:rPr>
          <w:rFonts w:hint="eastAsia" w:ascii="宋体" w:hAnsi="宋体" w:eastAsia="宋体" w:cs="宋体"/>
          <w:bCs/>
          <w:color w:val="000000"/>
        </w:rPr>
        <w:t>研发队伍建设</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技术的竞争归根结底是人才的竞争，华工科技高度重视人才队伍建设，公司6700余名员工中，从事专职研发和前期预研的专职研发人员达到近1700名，行业顶尖研发人员近百名，行业领军人才10余位。</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通过上述对创新能力和研发体系持续的建设，为公司攻坚好产品形成了重要保障。</w:t>
      </w: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2、建设好市场</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a.</w:t>
      </w:r>
      <w:r>
        <w:rPr>
          <w:rFonts w:hint="eastAsia" w:ascii="宋体" w:hAnsi="宋体" w:eastAsia="宋体" w:cs="宋体"/>
          <w:bCs/>
          <w:color w:val="000000"/>
        </w:rPr>
        <w:t>内部资源整合</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华工科技坚定实施大客户战略，持续推动内部资源整合，成立智能制造事业总部，在行业方面，围绕国家“一带一路”战略，重点在船舶、工程机械、桥梁制造行业取得拓展；在多板块协同方面，为客户提供整体解决方案，华工赛百和华工激光在智能产线、智慧工厂项目上取得了订单；建立了资源共享渠道，实现了图像+激光、高理+激光、正源+赛百提供整体解决方案的客户应用突破。</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b.</w:t>
      </w:r>
      <w:r>
        <w:rPr>
          <w:rFonts w:hint="eastAsia" w:ascii="宋体" w:hAnsi="宋体" w:eastAsia="宋体" w:cs="宋体"/>
          <w:bCs/>
          <w:color w:val="000000"/>
        </w:rPr>
        <w:t>区域布局</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公司立足湖北武汉，经过两年半以来的区域布局，在深圳、江苏、成都、宝鸡等客户群体集中的地区均设有子公司，区域布局辐射全国乃至全球的重点发达地区。今年突发疫情，在全省封闭的情况下，利用上述子公司制造能力，保障国际大客户部分订单交付。</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c.</w:t>
      </w:r>
      <w:r>
        <w:rPr>
          <w:rFonts w:hint="eastAsia" w:ascii="宋体" w:hAnsi="宋体" w:eastAsia="宋体" w:cs="宋体"/>
          <w:bCs/>
          <w:color w:val="000000"/>
        </w:rPr>
        <w:t>技术市场衔接</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公司加强技术研发与市场、产品线紧密衔接，在智能制造领域紧跟行业发展趋势，开展核心关键技术的自主开发，真正掌握核心技术，加强工艺研究，提升产品品质及新产品生成能力，形成具有行业特点的标准化产品。</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d.</w:t>
      </w:r>
      <w:r>
        <w:rPr>
          <w:rFonts w:hint="eastAsia" w:ascii="宋体" w:hAnsi="宋体" w:eastAsia="宋体" w:cs="宋体"/>
          <w:bCs/>
          <w:color w:val="000000"/>
        </w:rPr>
        <w:t>海外市场布局</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中国制造企业历经数十年的艰苦探索，正在逐步实现从“制造”向“智造”的转变，华工科技作为其中的代表之一，主动挑起大梁、追赶国际先进水平。为推动资本国际化、人才国际化、市场国际化，从2000年收购全球知名的切割系统公司ACS公司开始，华工科技已在加拿大、休斯敦、硅谷建立了研发、销售基地，与世界知名的研究机构、世界500强公司建立了人才、技术的交流合作机制，公司已在全球20多个国家和地区设立了办事处。截至目前，华工科技产品出口欧美、日韩、东南亚等50多个国家，近五年海外销售平均增长40%以上，华工科技的“国际化版图”日益清晰，为公司海外业务开拓提供良好的支撑。</w:t>
      </w: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3、落实好管控</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a.</w:t>
      </w:r>
      <w:r>
        <w:rPr>
          <w:rFonts w:hint="eastAsia" w:ascii="宋体" w:hAnsi="宋体" w:eastAsia="宋体" w:cs="宋体"/>
          <w:bCs/>
          <w:color w:val="000000"/>
        </w:rPr>
        <w:t>供应链管理</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华工科技完成了对供应链体系的全面梳理，设立了采购管理委员会，严格执行供应链招标投标管理，实行公司物料全覆盖，引进新的供应商，夯实了采购降成本的目标。疫情期间通过实施供应链战略，在现金流状况良好的情况下与核心供应商进行谈判，以预付的方式保障了核心原材料的供给。</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b.</w:t>
      </w:r>
      <w:r>
        <w:rPr>
          <w:rFonts w:hint="eastAsia" w:ascii="宋体" w:hAnsi="宋体" w:eastAsia="宋体" w:cs="宋体"/>
          <w:bCs/>
          <w:color w:val="000000"/>
        </w:rPr>
        <w:t>精益生产</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华工科技在核心子公司全面推行精益生产，建立了数字化、精细化、规范化、系统化的精益生产管理模式，提质增效，效果明显。</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c.</w:t>
      </w:r>
      <w:r>
        <w:rPr>
          <w:rFonts w:hint="eastAsia" w:ascii="宋体" w:hAnsi="宋体" w:eastAsia="宋体" w:cs="宋体"/>
          <w:bCs/>
          <w:color w:val="000000"/>
        </w:rPr>
        <w:t>资金管控平台</w:t>
      </w:r>
    </w:p>
    <w:p>
      <w:pPr>
        <w:spacing w:line="460" w:lineRule="exact"/>
        <w:ind w:firstLine="480" w:firstLineChars="200"/>
        <w:rPr>
          <w:rFonts w:hint="eastAsia" w:ascii="宋体" w:hAnsi="宋体" w:eastAsia="宋体" w:cs="宋体"/>
          <w:bCs/>
          <w:color w:val="000000"/>
          <w:lang w:val="zh-CN"/>
        </w:rPr>
      </w:pPr>
      <w:r>
        <w:rPr>
          <w:rFonts w:hint="eastAsia" w:ascii="宋体" w:hAnsi="宋体" w:eastAsia="宋体" w:cs="宋体"/>
          <w:bCs/>
          <w:color w:val="000000"/>
        </w:rPr>
        <w:t>公司搭建了集团统一资金管理平台，落实费用控制方针，</w:t>
      </w:r>
      <w:r>
        <w:rPr>
          <w:rFonts w:hint="eastAsia" w:ascii="宋体" w:hAnsi="宋体" w:eastAsia="宋体" w:cs="宋体"/>
          <w:bCs/>
          <w:color w:val="000000"/>
          <w:lang w:val="zh-CN"/>
        </w:rPr>
        <w:t>实现跨公司、跨区域、跨银行的资金归集和有效管理，增强了议价能力，降低了融资成本、提高了使用效率，全面提升了公司资金收益水平。</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d.</w:t>
      </w:r>
      <w:r>
        <w:rPr>
          <w:rFonts w:hint="eastAsia" w:ascii="宋体" w:hAnsi="宋体" w:eastAsia="宋体" w:cs="宋体"/>
          <w:bCs/>
          <w:color w:val="000000"/>
        </w:rPr>
        <w:t>子公司管理</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公司财务部配合企业运营部定期向各核心子公司下达“关注函”，针对经营中的问题进行一体化管理，通过经营管控数字化、过程管控精细化、流程管控规范化、费用管控系统化、生产管控精益化，夯实公司长期发展的竞争力。</w:t>
      </w:r>
    </w:p>
    <w:p>
      <w:pPr>
        <w:spacing w:line="460" w:lineRule="exact"/>
        <w:ind w:firstLine="480" w:firstLineChars="200"/>
        <w:rPr>
          <w:rFonts w:hint="eastAsia" w:ascii="宋体" w:hAnsi="宋体" w:eastAsia="宋体" w:cs="宋体"/>
          <w:bCs/>
          <w:color w:val="000000"/>
        </w:rPr>
      </w:pP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2020年一季度，华工科技业绩降幅明显，一方面，交易性金融资产股价下跌对公司带来了近6000万的业绩影响；另一方面，由于新冠疫情，公司有一个半月处于停工停产状态，</w:t>
      </w:r>
      <w:r>
        <w:rPr>
          <w:rFonts w:hint="eastAsia" w:ascii="宋体" w:hAnsi="宋体" w:eastAsia="宋体" w:cs="宋体"/>
          <w:bCs/>
          <w:color w:val="000000"/>
          <w:lang w:val="zh-CN"/>
        </w:rPr>
        <w:t>湖北地区封城，物流通道受阻，对一季度生产及订单交付产生</w:t>
      </w:r>
      <w:r>
        <w:rPr>
          <w:rFonts w:hint="eastAsia" w:ascii="宋体" w:hAnsi="宋体" w:eastAsia="宋体" w:cs="宋体"/>
          <w:bCs/>
          <w:color w:val="000000"/>
        </w:rPr>
        <w:t>了直接</w:t>
      </w:r>
      <w:r>
        <w:rPr>
          <w:rFonts w:hint="eastAsia" w:ascii="宋体" w:hAnsi="宋体" w:eastAsia="宋体" w:cs="宋体"/>
          <w:bCs/>
          <w:color w:val="000000"/>
          <w:lang w:val="zh-CN"/>
        </w:rPr>
        <w:t>影响；</w:t>
      </w:r>
      <w:r>
        <w:rPr>
          <w:rFonts w:hint="eastAsia" w:ascii="宋体" w:hAnsi="宋体" w:eastAsia="宋体" w:cs="宋体"/>
          <w:bCs/>
          <w:color w:val="000000"/>
        </w:rPr>
        <w:t>两方面因素叠加造成了一季度的亏损。但在5G光通信业务方面，一季度单体企业净利润达到2340万元，比去年同期的570万元有较大幅度增长，一季度扣非后仍有1228万元盈利。</w:t>
      </w:r>
    </w:p>
    <w:p>
      <w:pPr>
        <w:spacing w:line="460" w:lineRule="exact"/>
        <w:ind w:firstLine="480" w:firstLineChars="200"/>
        <w:rPr>
          <w:rFonts w:hint="eastAsia" w:ascii="宋体" w:hAnsi="宋体" w:eastAsia="宋体" w:cs="宋体"/>
          <w:bCs/>
          <w:color w:val="000000"/>
          <w:lang w:val="zh-CN"/>
        </w:rPr>
      </w:pPr>
      <w:r>
        <w:rPr>
          <w:rFonts w:hint="eastAsia" w:ascii="宋体" w:hAnsi="宋体" w:eastAsia="宋体" w:cs="宋体"/>
          <w:bCs/>
          <w:color w:val="000000"/>
        </w:rPr>
        <w:t>疫情发生以来，</w:t>
      </w:r>
      <w:r>
        <w:rPr>
          <w:rFonts w:hint="eastAsia" w:ascii="宋体" w:hAnsi="宋体" w:eastAsia="宋体" w:cs="宋体"/>
          <w:bCs/>
          <w:color w:val="000000"/>
          <w:lang w:val="zh-CN"/>
        </w:rPr>
        <w:t>华工科技在保障员工健康安全的前提下，积极与客户沟通，逐步加快复工复产，打通内部资源调配，有效开展本土化服务，</w:t>
      </w:r>
      <w:r>
        <w:rPr>
          <w:rFonts w:hint="eastAsia" w:ascii="宋体" w:hAnsi="宋体" w:eastAsia="宋体" w:cs="宋体"/>
          <w:bCs/>
          <w:color w:val="000000"/>
        </w:rPr>
        <w:t>得到大客户理解与认可，</w:t>
      </w:r>
      <w:r>
        <w:rPr>
          <w:rFonts w:hint="eastAsia" w:ascii="宋体" w:hAnsi="宋体" w:eastAsia="宋体" w:cs="宋体"/>
          <w:bCs/>
          <w:color w:val="000000"/>
          <w:lang w:val="zh-CN"/>
        </w:rPr>
        <w:t>订单不仅没有流失，还有新的增量，国际大客户订单</w:t>
      </w:r>
      <w:r>
        <w:rPr>
          <w:rFonts w:hint="eastAsia" w:ascii="宋体" w:hAnsi="宋体" w:eastAsia="宋体" w:cs="宋体"/>
          <w:bCs/>
          <w:color w:val="000000"/>
        </w:rPr>
        <w:t>比去年同期增长约26%</w:t>
      </w:r>
      <w:r>
        <w:rPr>
          <w:rFonts w:hint="eastAsia" w:ascii="宋体" w:hAnsi="宋体" w:eastAsia="宋体" w:cs="宋体"/>
          <w:bCs/>
          <w:color w:val="000000"/>
          <w:lang w:val="zh-CN"/>
        </w:rPr>
        <w:t>； 5G大客户</w:t>
      </w:r>
      <w:r>
        <w:rPr>
          <w:rFonts w:hint="eastAsia" w:ascii="宋体" w:hAnsi="宋体" w:eastAsia="宋体" w:cs="宋体"/>
          <w:bCs/>
          <w:color w:val="000000"/>
        </w:rPr>
        <w:t>交付占比达70%，</w:t>
      </w:r>
      <w:r>
        <w:rPr>
          <w:rFonts w:hint="eastAsia" w:ascii="宋体" w:hAnsi="宋体" w:eastAsia="宋体" w:cs="宋体"/>
          <w:bCs/>
          <w:color w:val="000000"/>
          <w:lang w:val="zh-CN"/>
        </w:rPr>
        <w:t>市场份额超出预期。</w:t>
      </w:r>
    </w:p>
    <w:p>
      <w:pPr>
        <w:spacing w:line="460" w:lineRule="exact"/>
        <w:ind w:firstLine="480" w:firstLineChars="200"/>
        <w:rPr>
          <w:rFonts w:hint="eastAsia" w:ascii="宋体" w:hAnsi="宋体" w:eastAsia="宋体" w:cs="宋体"/>
          <w:bCs/>
          <w:color w:val="000000"/>
        </w:rPr>
      </w:pPr>
      <w:r>
        <w:rPr>
          <w:rFonts w:hint="eastAsia" w:ascii="宋体" w:hAnsi="宋体" w:eastAsia="宋体" w:cs="宋体"/>
          <w:bCs/>
          <w:color w:val="000000"/>
        </w:rPr>
        <w:t>尽管2020年，全球经济受疫情影响面临巨大下行压力，国内传统经济增长模式动能逐渐减弱，但危机中也隐含着新的机遇，中国正在努力培育“新经济”成为增长的新动能，“新基建”的经济效益和战略价值凸显。公司也将紧抓新基建机遇，“以创新驱动”夯实公司高质量发展底盘，保障规模持续增长，实现公司年初制定的规模增长目标。</w:t>
      </w:r>
    </w:p>
    <w:p>
      <w:pPr>
        <w:spacing w:line="460" w:lineRule="exact"/>
        <w:ind w:firstLine="480" w:firstLineChars="200"/>
        <w:rPr>
          <w:rFonts w:hint="eastAsia" w:ascii="宋体" w:hAnsi="宋体" w:eastAsia="宋体" w:cs="宋体"/>
          <w:bCs/>
          <w:color w:val="000000"/>
        </w:rPr>
      </w:pPr>
    </w:p>
    <w:p>
      <w:pPr>
        <w:spacing w:before="120" w:beforeLines="50" w:after="120" w:afterLines="50"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三、交流互动环节</w:t>
      </w: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1、信息激光领域提问：公司在国内</w:t>
      </w:r>
      <w:r>
        <w:rPr>
          <w:rFonts w:hint="eastAsia" w:ascii="宋体" w:hAnsi="宋体" w:eastAsia="宋体" w:cs="宋体"/>
          <w:b/>
          <w:color w:val="000000"/>
        </w:rPr>
        <w:t>高端光模块</w:t>
      </w:r>
      <w:r>
        <w:rPr>
          <w:rFonts w:hint="eastAsia" w:ascii="宋体" w:hAnsi="宋体" w:eastAsia="宋体" w:cs="宋体"/>
          <w:b/>
          <w:color w:val="000000"/>
        </w:rPr>
        <w:t>所占市场份额； 5G建设增长预期</w:t>
      </w:r>
      <w:r>
        <w:rPr>
          <w:rFonts w:hint="eastAsia" w:ascii="宋体" w:hAnsi="宋体" w:eastAsia="宋体" w:cs="宋体"/>
          <w:b/>
          <w:color w:val="000000"/>
        </w:rPr>
        <w:t>；核心光芯片自产</w:t>
      </w:r>
      <w:r>
        <w:rPr>
          <w:rFonts w:hint="eastAsia" w:ascii="宋体" w:hAnsi="宋体" w:eastAsia="宋体" w:cs="宋体"/>
          <w:b/>
          <w:color w:val="000000"/>
        </w:rPr>
        <w:t>进展；数通类产品进展？</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color w:val="000000"/>
        </w:rPr>
        <w:t>胡长飞回复：</w:t>
      </w:r>
      <w:r>
        <w:rPr>
          <w:rFonts w:hint="eastAsia" w:ascii="宋体" w:hAnsi="宋体" w:eastAsia="宋体" w:cs="宋体"/>
          <w:color w:val="000000"/>
        </w:rPr>
        <w:t>2019年是我国5G建设的元年，今年在疫情期间习近平总书记也提到了“新基建”，其中第一位的就是5G建设。目前5G建设的进度非常快，三大运营商都在加快网络建设进度，中国移动，中国电信与中国联通分别发布了招标公告，移动有近30</w:t>
      </w:r>
      <w:r>
        <w:rPr>
          <w:rFonts w:hint="eastAsia" w:ascii="宋体" w:hAnsi="宋体" w:eastAsia="宋体" w:cs="宋体"/>
          <w:color w:val="000000"/>
        </w:rPr>
        <w:t>万站，电信和联通有约26</w:t>
      </w:r>
      <w:r>
        <w:rPr>
          <w:rFonts w:hint="eastAsia" w:ascii="宋体" w:hAnsi="宋体" w:eastAsia="宋体" w:cs="宋体"/>
          <w:color w:val="000000"/>
        </w:rPr>
        <w:t>万站。全球排名前列的5G设备厂商，比如华为、中兴通讯、诺基亚、爱立信和大唐电信都参与了招标活动。随着三大运营商5G集采的展开，行业发展显然已经按下加速键，市场需求快速扩大，预计在5</w:t>
      </w:r>
      <w:r>
        <w:rPr>
          <w:rFonts w:hint="eastAsia" w:ascii="宋体" w:hAnsi="宋体" w:eastAsia="宋体" w:cs="宋体"/>
          <w:color w:val="000000"/>
        </w:rPr>
        <w:t>G前传</w:t>
      </w:r>
      <w:r>
        <w:rPr>
          <w:rFonts w:hint="eastAsia" w:ascii="宋体" w:hAnsi="宋体" w:eastAsia="宋体" w:cs="宋体"/>
          <w:color w:val="000000"/>
        </w:rPr>
        <w:t>光模块方面全年将有1100万</w:t>
      </w:r>
      <w:r>
        <w:rPr>
          <w:rFonts w:hint="eastAsia" w:ascii="宋体" w:hAnsi="宋体" w:eastAsia="宋体" w:cs="宋体"/>
          <w:color w:val="000000"/>
        </w:rPr>
        <w:t>支的需求。</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关于产能，公司预计今年的平均值为50万支/月，但从目前来看，5G建设不断加速，公司在主要5G设备商中订单份总体已达50%以上，公司全面复工后，出货量达到70万支/月。此外，公司仍在加速扩产，产能目标是80万支/月，且公司扩产所需的关键设备、场地、人员都已完备，产能提升符合客户交付要求。</w:t>
      </w:r>
    </w:p>
    <w:p>
      <w:pPr>
        <w:spacing w:line="460" w:lineRule="exact"/>
        <w:ind w:firstLine="480" w:firstLineChars="200"/>
        <w:rPr>
          <w:rFonts w:hint="eastAsia" w:ascii="宋体" w:hAnsi="宋体" w:eastAsia="宋体" w:cs="宋体"/>
          <w:color w:val="000000"/>
        </w:rPr>
      </w:pPr>
      <w:r>
        <w:rPr>
          <w:rFonts w:hint="eastAsia" w:ascii="宋体" w:hAnsi="宋体" w:eastAsia="宋体" w:cs="宋体"/>
        </w:rPr>
        <w:t>公司拥有业界先进的端到端产品线和整体解决方案，具备从芯片到器件、模块、子系统全系列产品的垂直整合能力，是国内领先的“5G+数据中心”核心光模块、光芯片供应商。</w:t>
      </w:r>
      <w:r>
        <w:rPr>
          <w:rFonts w:hint="eastAsia" w:ascii="宋体" w:hAnsi="宋体" w:eastAsia="宋体" w:cs="宋体"/>
        </w:rPr>
        <w:t>目前公司10G光芯片已经批量供货，25G光芯片接收芯片已具备批量能力，发射芯片还在进行测试评估，预计今年下半年逐步形成小批量。</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数通产品方面，疫情期间北美、欧洲、包括中国</w:t>
      </w:r>
      <w:r>
        <w:rPr>
          <w:rFonts w:hint="eastAsia" w:ascii="宋体" w:hAnsi="宋体" w:eastAsia="宋体" w:cs="宋体"/>
          <w:color w:val="000000"/>
        </w:rPr>
        <w:t>在内流量驱动非常快，所以加速了</w:t>
      </w:r>
      <w:r>
        <w:rPr>
          <w:rFonts w:hint="eastAsia" w:ascii="宋体" w:hAnsi="宋体" w:eastAsia="宋体" w:cs="宋体"/>
          <w:color w:val="000000"/>
        </w:rPr>
        <w:t>数通产品的需求拉升，</w:t>
      </w:r>
      <w:r>
        <w:rPr>
          <w:rFonts w:hint="eastAsia" w:ascii="宋体" w:hAnsi="宋体" w:eastAsia="宋体" w:cs="宋体"/>
          <w:color w:val="000000"/>
        </w:rPr>
        <w:t>今年中国的数据中心</w:t>
      </w:r>
      <w:r>
        <w:rPr>
          <w:rFonts w:hint="eastAsia" w:ascii="宋体" w:hAnsi="宋体" w:eastAsia="宋体" w:cs="宋体"/>
          <w:color w:val="000000"/>
        </w:rPr>
        <w:t>也真正开始提速</w:t>
      </w:r>
      <w:r>
        <w:rPr>
          <w:rFonts w:hint="eastAsia" w:ascii="宋体" w:hAnsi="宋体" w:eastAsia="宋体" w:cs="宋体"/>
          <w:color w:val="000000"/>
        </w:rPr>
        <w:t>、提</w:t>
      </w:r>
      <w:r>
        <w:rPr>
          <w:rFonts w:hint="eastAsia" w:ascii="宋体" w:hAnsi="宋体" w:eastAsia="宋体" w:cs="宋体"/>
          <w:color w:val="000000"/>
        </w:rPr>
        <w:t>量。</w:t>
      </w:r>
      <w:r>
        <w:rPr>
          <w:rFonts w:hint="eastAsia" w:ascii="宋体" w:hAnsi="宋体" w:eastAsia="宋体" w:cs="宋体"/>
          <w:color w:val="000000"/>
          <w:lang w:val="en-US" w:eastAsia="zh-CN"/>
        </w:rPr>
        <w:t>预计</w:t>
      </w:r>
      <w:r>
        <w:rPr>
          <w:rFonts w:hint="eastAsia" w:ascii="宋体" w:hAnsi="宋体" w:eastAsia="宋体" w:cs="宋体"/>
          <w:color w:val="000000"/>
        </w:rPr>
        <w:t>今年下半年，北美的400</w:t>
      </w:r>
      <w:r>
        <w:rPr>
          <w:rFonts w:hint="eastAsia" w:ascii="宋体" w:hAnsi="宋体" w:eastAsia="宋体" w:cs="宋体"/>
          <w:color w:val="000000"/>
        </w:rPr>
        <w:t>G需求会</w:t>
      </w:r>
      <w:r>
        <w:rPr>
          <w:rFonts w:hint="eastAsia" w:ascii="宋体" w:hAnsi="宋体" w:eastAsia="宋体" w:cs="宋体"/>
          <w:color w:val="000000"/>
        </w:rPr>
        <w:t>提升，中国的100</w:t>
      </w:r>
      <w:r>
        <w:rPr>
          <w:rFonts w:hint="eastAsia" w:ascii="宋体" w:hAnsi="宋体" w:eastAsia="宋体" w:cs="宋体"/>
          <w:color w:val="000000"/>
        </w:rPr>
        <w:t>G也会上量。</w:t>
      </w:r>
      <w:r>
        <w:rPr>
          <w:rFonts w:hint="eastAsia" w:ascii="宋体" w:hAnsi="宋体" w:eastAsia="宋体" w:cs="宋体"/>
          <w:color w:val="000000"/>
        </w:rPr>
        <w:t>目前公司在国内跟北美都已</w:t>
      </w:r>
      <w:r>
        <w:rPr>
          <w:rFonts w:hint="eastAsia" w:ascii="宋体" w:hAnsi="宋体" w:eastAsia="宋体" w:cs="宋体"/>
          <w:color w:val="000000"/>
        </w:rPr>
        <w:t>有100G小批量</w:t>
      </w:r>
      <w:r>
        <w:rPr>
          <w:rFonts w:hint="eastAsia" w:ascii="宋体" w:hAnsi="宋体" w:eastAsia="宋体" w:cs="宋体"/>
          <w:color w:val="000000"/>
        </w:rPr>
        <w:t>的订单，在400</w:t>
      </w:r>
      <w:r>
        <w:rPr>
          <w:rFonts w:hint="eastAsia" w:ascii="宋体" w:hAnsi="宋体" w:eastAsia="宋体" w:cs="宋体"/>
          <w:color w:val="000000"/>
        </w:rPr>
        <w:t>G产品上也</w:t>
      </w:r>
      <w:r>
        <w:rPr>
          <w:rFonts w:hint="eastAsia" w:ascii="宋体" w:hAnsi="宋体" w:eastAsia="宋体" w:cs="宋体"/>
          <w:color w:val="000000"/>
        </w:rPr>
        <w:t>将与北美头部</w:t>
      </w:r>
      <w:r>
        <w:rPr>
          <w:rFonts w:hint="eastAsia" w:ascii="宋体" w:hAnsi="宋体" w:eastAsia="宋体" w:cs="宋体"/>
          <w:color w:val="000000"/>
        </w:rPr>
        <w:t xml:space="preserve">厂商送样认证。 </w:t>
      </w:r>
    </w:p>
    <w:p>
      <w:pPr>
        <w:spacing w:line="460" w:lineRule="exact"/>
        <w:ind w:firstLine="480" w:firstLineChars="200"/>
        <w:rPr>
          <w:rFonts w:hint="eastAsia" w:ascii="宋体" w:hAnsi="宋体" w:eastAsia="宋体" w:cs="宋体"/>
          <w:color w:val="000000"/>
        </w:rPr>
      </w:pP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2</w:t>
      </w:r>
      <w:r>
        <w:rPr>
          <w:rFonts w:hint="eastAsia" w:ascii="宋体" w:hAnsi="宋体" w:eastAsia="宋体" w:cs="宋体"/>
          <w:b/>
          <w:color w:val="000000"/>
        </w:rPr>
        <w:t>、能量激光领域提问：激光装备的整体订单情况；大功率激光设备在新能源汽车的应用，中小功率激光设备在</w:t>
      </w:r>
      <w:r>
        <w:rPr>
          <w:rFonts w:hint="eastAsia" w:ascii="宋体" w:hAnsi="宋体" w:eastAsia="宋体" w:cs="宋体"/>
          <w:b/>
          <w:color w:val="000000"/>
        </w:rPr>
        <w:t>3C行业的应用；公司在智能装备方面的市场订单情况？</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color w:val="000000"/>
        </w:rPr>
        <w:t>邓家科回复：</w:t>
      </w:r>
      <w:r>
        <w:rPr>
          <w:rFonts w:hint="eastAsia" w:ascii="宋体" w:hAnsi="宋体" w:eastAsia="宋体" w:cs="宋体"/>
          <w:color w:val="000000"/>
        </w:rPr>
        <w:t xml:space="preserve">疫情对公司激光装备整体的订单有较大影响：一方面是市场开拓方面交通受阻，另一方面是生产交付方面物流受阻。但公司从3月2号开始恢复部分生产，4月8号离汉通道和口岸开放后，已全面复产和发货，4月份的出货量创历史新高。 </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在新能源汽车领域，近几年公司的激光装备在汽车行业已做了大量的应用，包括车顶盖的焊接、安全气囊弱化、全铝车身焊接等。新能源汽车最主要的技术需求就是减重，因此会大量用到高强钢板、铝板等，公司的激光装备在这些材料上都有非常大的应用空间。所以公司将积极寻求跟国际、国内新能源汽车客户加强合作，包括与一些零部件厂商展开合作。</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在3C行业领域，激光设备的应用也有比较广阔的空间，特别是超快激光的应用，对脆性材料、复合材料和一些特殊材料的加工，例如手机上的天线、LCP</w:t>
      </w:r>
      <w:r>
        <w:rPr>
          <w:rFonts w:hint="eastAsia" w:ascii="宋体" w:hAnsi="宋体" w:eastAsia="宋体" w:cs="宋体"/>
          <w:color w:val="000000"/>
        </w:rPr>
        <w:t>新材料的切割，有些只能用超快激光来解决。</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目前公司在手的智能装备</w:t>
      </w:r>
      <w:r>
        <w:rPr>
          <w:rFonts w:hint="eastAsia" w:ascii="宋体" w:hAnsi="宋体" w:eastAsia="宋体" w:cs="宋体"/>
          <w:color w:val="000000"/>
        </w:rPr>
        <w:t>业务有近4个亿</w:t>
      </w:r>
      <w:r>
        <w:rPr>
          <w:rFonts w:hint="eastAsia" w:ascii="宋体" w:hAnsi="宋体" w:eastAsia="宋体" w:cs="宋体"/>
          <w:color w:val="000000"/>
        </w:rPr>
        <w:t>订单，同时公司也采取了一系列措施进行市场开拓，如非湖北籍员工直接从当地出发开拓前沿市场，围绕核心客户集中的深圳、苏州、宿迁、宝鸡、成都进行积极开拓。</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color w:val="000000"/>
        </w:rPr>
        <w:t>刘含树补充：</w:t>
      </w:r>
      <w:r>
        <w:rPr>
          <w:rFonts w:hint="eastAsia" w:ascii="宋体" w:hAnsi="宋体" w:eastAsia="宋体" w:cs="宋体"/>
          <w:color w:val="000000"/>
        </w:rPr>
        <w:t>在全国人民的支持和关心下，公司已度过最艰难的时期，生产经营正处于快速恢复的过程中。前不久国家发布的关于“新基建”的相关推进政策，使公司智能制造业务、5G</w:t>
      </w:r>
      <w:r>
        <w:rPr>
          <w:rFonts w:hint="eastAsia" w:ascii="宋体" w:hAnsi="宋体" w:eastAsia="宋体" w:cs="宋体"/>
          <w:color w:val="000000"/>
        </w:rPr>
        <w:t>光通信业务、3C</w:t>
      </w:r>
      <w:r>
        <w:rPr>
          <w:rFonts w:hint="eastAsia" w:ascii="宋体" w:hAnsi="宋体" w:eastAsia="宋体" w:cs="宋体"/>
          <w:color w:val="000000"/>
        </w:rPr>
        <w:t>电子业务等得到了很好的政策性牵引。公司也将持续发挥软硬件整合能力，在机械制造、工程机械、汽车制造等领域，为客户打造</w:t>
      </w:r>
      <w:r>
        <w:rPr>
          <w:rFonts w:hint="eastAsia" w:ascii="宋体" w:hAnsi="宋体" w:eastAsia="宋体" w:cs="宋体"/>
        </w:rPr>
        <w:fldChar w:fldCharType="begin"/>
      </w:r>
      <w:r>
        <w:rPr>
          <w:rFonts w:hint="eastAsia" w:ascii="宋体" w:hAnsi="宋体" w:eastAsia="宋体" w:cs="宋体"/>
        </w:rPr>
        <w:instrText xml:space="preserve"> HYPERLINK "https://www.taoguba.com.cn/special/searchSpecial/%E6%99%BA%E8%83%BD" \t "https://www.taoguba.com.cn/Article/2740816/_blank" </w:instrText>
      </w:r>
      <w:r>
        <w:rPr>
          <w:rFonts w:hint="eastAsia" w:ascii="宋体" w:hAnsi="宋体" w:eastAsia="宋体" w:cs="宋体"/>
        </w:rPr>
        <w:fldChar w:fldCharType="separate"/>
      </w:r>
      <w:r>
        <w:rPr>
          <w:rFonts w:hint="eastAsia" w:ascii="宋体" w:hAnsi="宋体" w:eastAsia="宋体" w:cs="宋体"/>
          <w:color w:val="000000"/>
        </w:rPr>
        <w:t>智能</w:t>
      </w:r>
      <w:r>
        <w:rPr>
          <w:rFonts w:hint="eastAsia" w:ascii="宋体" w:hAnsi="宋体" w:eastAsia="宋体" w:cs="宋体"/>
          <w:color w:val="000000"/>
        </w:rPr>
        <w:fldChar w:fldCharType="end"/>
      </w:r>
      <w:r>
        <w:rPr>
          <w:rFonts w:hint="eastAsia" w:ascii="宋体" w:hAnsi="宋体" w:eastAsia="宋体" w:cs="宋体"/>
          <w:color w:val="000000"/>
        </w:rPr>
        <w:t>产线、智能工厂，</w:t>
      </w:r>
      <w:r>
        <w:rPr>
          <w:rFonts w:hint="eastAsia" w:ascii="宋体" w:hAnsi="宋体" w:eastAsia="宋体" w:cs="宋体"/>
          <w:color w:val="000000"/>
        </w:rPr>
        <w:t xml:space="preserve">提供整体解决方案，相信后续在智能制造领域的业务需求会不断扩大，为公司带来新的增长点。 </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 xml:space="preserve">关于3C领域的业务，公司通过近两个月跟A客户总部的交流沟通，得到了客户的认可，订单量在一季度不仅没有下降，还比去年同期增长了26%，预计全年在A客户订单方面至少会增长30%以上。 </w:t>
      </w:r>
    </w:p>
    <w:p>
      <w:pPr>
        <w:spacing w:line="460" w:lineRule="exact"/>
        <w:ind w:firstLine="480" w:firstLineChars="200"/>
        <w:rPr>
          <w:rFonts w:hint="eastAsia" w:ascii="宋体" w:hAnsi="宋体" w:eastAsia="宋体" w:cs="宋体"/>
          <w:color w:val="000000"/>
        </w:rPr>
      </w:pP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 xml:space="preserve">3、校企改革工作的进展及公司的规划？ </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color w:val="000000"/>
        </w:rPr>
        <w:t>安欣回复：</w:t>
      </w:r>
      <w:r>
        <w:rPr>
          <w:rFonts w:hint="eastAsia" w:ascii="宋体" w:hAnsi="宋体" w:eastAsia="宋体" w:cs="宋体"/>
          <w:color w:val="000000"/>
        </w:rPr>
        <w:t xml:space="preserve">校企改革是国家深化科技体制改革，坚持国有企业管理和国有资产管理体制改革的一个重要举措。在2018年中，国务院和各部委推出了多份系列文件，要求高校所属企业进行全面的清理和规范，促进高校集中办学，实现内涵式发展的这样的一个改革要求。 </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2019年底，确定的全国23所试点高校中的多家高校企业逐步披露了校企改革方案与计划，在教育部和财政部的领导下，校企改革工作明显加速，要求2021年的6月份基本完成全面的改革任务。从试点企业</w:t>
      </w:r>
      <w:r>
        <w:rPr>
          <w:rFonts w:hint="eastAsia" w:ascii="宋体" w:hAnsi="宋体" w:eastAsia="宋体" w:cs="宋体"/>
          <w:color w:val="000000"/>
        </w:rPr>
        <w:t>改革方案看，主要三种方式退出方式：公开征集、协议转让和无偿划转。</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华工科技的实际控制人是华中科技大学，华中科技大学不属于试点高校，但学校按照教育部和财政部的要求，正积极推动中。</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color w:val="000000"/>
        </w:rPr>
        <w:t>刘含树补充：</w:t>
      </w:r>
      <w:r>
        <w:rPr>
          <w:rFonts w:hint="eastAsia" w:ascii="宋体" w:hAnsi="宋体" w:eastAsia="宋体" w:cs="宋体"/>
          <w:color w:val="000000"/>
        </w:rPr>
        <w:t>虽然华中科技大学是非改革试点的高校，但学校和产业集团也都在加快推进对相应改革方案的研究和实施论证。校企改革对公司而言是个很好的契机，通过改革对公司未来战略性发展能植入很好的决策体系及管理架构。</w:t>
      </w:r>
    </w:p>
    <w:p>
      <w:pPr>
        <w:spacing w:line="460" w:lineRule="exact"/>
        <w:ind w:firstLine="480" w:firstLineChars="200"/>
        <w:rPr>
          <w:rFonts w:hint="eastAsia" w:ascii="宋体" w:hAnsi="宋体" w:eastAsia="宋体" w:cs="宋体"/>
          <w:color w:val="000000"/>
        </w:rPr>
      </w:pPr>
    </w:p>
    <w:p>
      <w:pPr>
        <w:spacing w:line="460" w:lineRule="exact"/>
        <w:ind w:firstLine="482" w:firstLineChars="200"/>
        <w:rPr>
          <w:rFonts w:hint="eastAsia" w:ascii="宋体" w:hAnsi="宋体" w:eastAsia="宋体" w:cs="宋体"/>
          <w:b/>
          <w:color w:val="000000"/>
        </w:rPr>
      </w:pPr>
      <w:r>
        <w:rPr>
          <w:rFonts w:hint="eastAsia" w:ascii="宋体" w:hAnsi="宋体" w:eastAsia="宋体" w:cs="宋体"/>
          <w:b/>
          <w:color w:val="000000"/>
        </w:rPr>
        <w:t>4、关于华工科技产业链布局的安排？</w:t>
      </w:r>
    </w:p>
    <w:p>
      <w:pPr>
        <w:spacing w:line="460" w:lineRule="exact"/>
        <w:ind w:firstLine="482" w:firstLineChars="200"/>
        <w:rPr>
          <w:rFonts w:hint="eastAsia" w:ascii="宋体" w:hAnsi="宋体" w:eastAsia="宋体" w:cs="宋体"/>
          <w:color w:val="000000"/>
        </w:rPr>
      </w:pPr>
      <w:r>
        <w:rPr>
          <w:rFonts w:hint="eastAsia" w:ascii="宋体" w:hAnsi="宋体" w:eastAsia="宋体" w:cs="宋体"/>
          <w:b/>
          <w:bCs/>
          <w:color w:val="000000"/>
        </w:rPr>
        <w:t>张丽华回复：</w:t>
      </w:r>
      <w:r>
        <w:rPr>
          <w:rFonts w:hint="eastAsia" w:ascii="宋体" w:hAnsi="宋体" w:eastAsia="宋体" w:cs="宋体"/>
          <w:color w:val="000000"/>
        </w:rPr>
        <w:t>公司始终坚持“以产品经营夯实企业基础，以资本经营扩大企业规模”，实施产品经营和资本经营双驱动的战略，围绕公司的产业链布局，投资公司以产业协同、共建生态为逻辑，实施了上下游产业链的投资。</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参股华日公司是公司的股权投资项目之一，4月26日华日公司已完成正式挂牌，即将进行股权转让及价款核算和交割，预计会为华工科技带来较为丰厚的投资收益。</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 xml:space="preserve">公司此次出让了所持华日公司52%的股权，转让完成以后，仍是华日公司的重要股东，将在更高战略领域继续与华日公司进行深度合作，同时，公司仍穿透持有华日公司19%左右的股权。华日公司通过引入战略投资者，将有利于在核心器件、上游的泵源、光学材料等领域，全面打通华工科技在激光产业链的上下游资源。 </w:t>
      </w:r>
    </w:p>
    <w:p>
      <w:pPr>
        <w:spacing w:line="460" w:lineRule="exact"/>
        <w:ind w:firstLine="480" w:firstLineChars="200"/>
        <w:rPr>
          <w:rFonts w:hint="eastAsia" w:ascii="宋体" w:hAnsi="宋体" w:eastAsia="宋体" w:cs="宋体"/>
          <w:color w:val="000000"/>
        </w:rPr>
      </w:pPr>
      <w:r>
        <w:rPr>
          <w:rFonts w:hint="eastAsia" w:ascii="宋体" w:hAnsi="宋体" w:eastAsia="宋体" w:cs="宋体"/>
          <w:color w:val="000000"/>
        </w:rPr>
        <w:t>围绕产业链，公司投资的联赢激光在昨天通过了科创版IPO注册，未来公司投资成本锁定期结束后，也会获得投资收益。公司所持其他几个投资项目或在进行科创版的二询，或在创业板已经受理，如成功上市也会为公司带来不错的投资收益。</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7709C9"/>
    <w:multiLevelType w:val="singleLevel"/>
    <w:tmpl w:val="9D7709C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9C9"/>
    <w:rsid w:val="00004DF6"/>
    <w:rsid w:val="00030BEB"/>
    <w:rsid w:val="000B345E"/>
    <w:rsid w:val="00100309"/>
    <w:rsid w:val="00121798"/>
    <w:rsid w:val="00276211"/>
    <w:rsid w:val="0028256D"/>
    <w:rsid w:val="00291B9A"/>
    <w:rsid w:val="00345D21"/>
    <w:rsid w:val="0043523C"/>
    <w:rsid w:val="004476F6"/>
    <w:rsid w:val="004559C9"/>
    <w:rsid w:val="00522A73"/>
    <w:rsid w:val="0056576E"/>
    <w:rsid w:val="00583A0A"/>
    <w:rsid w:val="005B34D9"/>
    <w:rsid w:val="0069231B"/>
    <w:rsid w:val="00753F2C"/>
    <w:rsid w:val="00765EB7"/>
    <w:rsid w:val="00766415"/>
    <w:rsid w:val="0078125D"/>
    <w:rsid w:val="008B5E74"/>
    <w:rsid w:val="00A41904"/>
    <w:rsid w:val="00A74DAD"/>
    <w:rsid w:val="00B64D26"/>
    <w:rsid w:val="00B8763E"/>
    <w:rsid w:val="00C02359"/>
    <w:rsid w:val="00C062FB"/>
    <w:rsid w:val="00D11F72"/>
    <w:rsid w:val="00DB6C11"/>
    <w:rsid w:val="00DB7411"/>
    <w:rsid w:val="00DC4467"/>
    <w:rsid w:val="00E9144D"/>
    <w:rsid w:val="00EA694F"/>
    <w:rsid w:val="00EF0C2E"/>
    <w:rsid w:val="00F066FD"/>
    <w:rsid w:val="00F121F9"/>
    <w:rsid w:val="00F24ABD"/>
    <w:rsid w:val="00F31BE4"/>
    <w:rsid w:val="00F6737E"/>
    <w:rsid w:val="00F96E8C"/>
    <w:rsid w:val="081657E0"/>
    <w:rsid w:val="09603ED9"/>
    <w:rsid w:val="0AAC5603"/>
    <w:rsid w:val="23C87D41"/>
    <w:rsid w:val="270B5FBF"/>
    <w:rsid w:val="27CE735B"/>
    <w:rsid w:val="32DC2DCA"/>
    <w:rsid w:val="3D9154A1"/>
    <w:rsid w:val="68A64700"/>
    <w:rsid w:val="7B860AEE"/>
    <w:rsid w:val="7EC90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zh-CN" w:bidi="ar-SA"/>
    </w:rPr>
  </w:style>
  <w:style w:type="paragraph" w:styleId="2">
    <w:name w:val="heading 1"/>
    <w:basedOn w:val="1"/>
    <w:next w:val="1"/>
    <w:qFormat/>
    <w:uiPriority w:val="0"/>
    <w:pPr>
      <w:keepNext/>
      <w:spacing w:before="240" w:after="60"/>
      <w:outlineLvl w:val="0"/>
    </w:pPr>
    <w:rPr>
      <w:b/>
      <w:bCs/>
      <w:kern w:val="36"/>
      <w:sz w:val="48"/>
      <w:szCs w:val="48"/>
    </w:rPr>
  </w:style>
  <w:style w:type="paragraph" w:styleId="3">
    <w:name w:val="heading 2"/>
    <w:basedOn w:val="1"/>
    <w:next w:val="1"/>
    <w:qFormat/>
    <w:uiPriority w:val="0"/>
    <w:pPr>
      <w:keepNext/>
      <w:spacing w:before="240" w:after="60"/>
      <w:outlineLvl w:val="1"/>
    </w:pPr>
    <w:rPr>
      <w:b/>
      <w:bCs/>
      <w:iCs/>
      <w:sz w:val="36"/>
      <w:szCs w:val="36"/>
    </w:rPr>
  </w:style>
  <w:style w:type="paragraph" w:styleId="4">
    <w:name w:val="heading 3"/>
    <w:basedOn w:val="1"/>
    <w:next w:val="1"/>
    <w:qFormat/>
    <w:uiPriority w:val="0"/>
    <w:pPr>
      <w:keepNext/>
      <w:spacing w:before="240" w:after="60"/>
      <w:outlineLvl w:val="2"/>
    </w:pPr>
    <w:rPr>
      <w:b/>
      <w:bCs/>
      <w:sz w:val="28"/>
      <w:szCs w:val="28"/>
    </w:rPr>
  </w:style>
  <w:style w:type="paragraph" w:styleId="5">
    <w:name w:val="heading 4"/>
    <w:basedOn w:val="1"/>
    <w:next w:val="1"/>
    <w:qFormat/>
    <w:uiPriority w:val="0"/>
    <w:pPr>
      <w:keepNext/>
      <w:spacing w:before="240" w:after="60"/>
      <w:outlineLvl w:val="3"/>
    </w:pPr>
    <w:rPr>
      <w:b/>
      <w:bCs/>
    </w:rPr>
  </w:style>
  <w:style w:type="paragraph" w:styleId="6">
    <w:name w:val="heading 5"/>
    <w:basedOn w:val="1"/>
    <w:next w:val="1"/>
    <w:qFormat/>
    <w:uiPriority w:val="0"/>
    <w:pPr>
      <w:spacing w:before="240" w:after="60"/>
      <w:outlineLvl w:val="4"/>
    </w:pPr>
    <w:rPr>
      <w:b/>
      <w:bCs/>
      <w:iCs/>
      <w:sz w:val="20"/>
      <w:szCs w:val="20"/>
    </w:rPr>
  </w:style>
  <w:style w:type="paragraph" w:styleId="7">
    <w:name w:val="heading 6"/>
    <w:basedOn w:val="1"/>
    <w:next w:val="1"/>
    <w:qFormat/>
    <w:uiPriority w:val="0"/>
    <w:pPr>
      <w:spacing w:before="240" w:after="60"/>
      <w:outlineLvl w:val="5"/>
    </w:pPr>
    <w:rPr>
      <w:b/>
      <w:bCs/>
      <w:sz w:val="16"/>
      <w:szCs w:val="16"/>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8">
    <w:name w:val="Balloon Text"/>
    <w:basedOn w:val="1"/>
    <w:link w:val="16"/>
    <w:semiHidden/>
    <w:unhideWhenUsed/>
    <w:qFormat/>
    <w:uiPriority w:val="99"/>
    <w:rPr>
      <w:sz w:val="18"/>
      <w:szCs w:val="18"/>
    </w:rPr>
  </w:style>
  <w:style w:type="paragraph" w:styleId="9">
    <w:name w:val="footer"/>
    <w:basedOn w:val="1"/>
    <w:link w:val="15"/>
    <w:unhideWhenUsed/>
    <w:qFormat/>
    <w:uiPriority w:val="99"/>
    <w:pPr>
      <w:tabs>
        <w:tab w:val="center" w:pos="4320"/>
        <w:tab w:val="right" w:pos="8640"/>
      </w:tabs>
    </w:pPr>
  </w:style>
  <w:style w:type="paragraph" w:styleId="10">
    <w:name w:val="header"/>
    <w:basedOn w:val="1"/>
    <w:link w:val="14"/>
    <w:unhideWhenUsed/>
    <w:qFormat/>
    <w:uiPriority w:val="99"/>
    <w:pPr>
      <w:tabs>
        <w:tab w:val="center" w:pos="4320"/>
        <w:tab w:val="right" w:pos="8640"/>
      </w:tabs>
    </w:pPr>
  </w:style>
  <w:style w:type="character" w:styleId="13">
    <w:name w:val="Hyperlink"/>
    <w:basedOn w:val="12"/>
    <w:semiHidden/>
    <w:unhideWhenUsed/>
    <w:qFormat/>
    <w:uiPriority w:val="99"/>
    <w:rPr>
      <w:color w:val="0000FF"/>
      <w:u w:val="single"/>
    </w:rPr>
  </w:style>
  <w:style w:type="character" w:customStyle="1" w:styleId="14">
    <w:name w:val="页眉 字符"/>
    <w:basedOn w:val="12"/>
    <w:link w:val="10"/>
    <w:qFormat/>
    <w:uiPriority w:val="99"/>
    <w:rPr>
      <w:sz w:val="24"/>
      <w:szCs w:val="24"/>
    </w:rPr>
  </w:style>
  <w:style w:type="character" w:customStyle="1" w:styleId="15">
    <w:name w:val="页脚 字符"/>
    <w:basedOn w:val="12"/>
    <w:link w:val="9"/>
    <w:qFormat/>
    <w:uiPriority w:val="99"/>
    <w:rPr>
      <w:sz w:val="24"/>
      <w:szCs w:val="24"/>
    </w:rPr>
  </w:style>
  <w:style w:type="character" w:customStyle="1" w:styleId="16">
    <w:name w:val="批注框文本 字符"/>
    <w:basedOn w:val="12"/>
    <w:link w:val="8"/>
    <w:semiHidden/>
    <w:uiPriority w:val="99"/>
    <w:rPr>
      <w:rFonts w:ascii="Times New Roman" w:hAnsi="Times New Roman" w:eastAsia="Times New Roman"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18A2A4-C3C2-403B-A83A-2740DA7161CE}">
  <ds:schemaRefs/>
</ds:datastoreItem>
</file>

<file path=docProps/app.xml><?xml version="1.0" encoding="utf-8"?>
<Properties xmlns="http://schemas.openxmlformats.org/officeDocument/2006/extended-properties" xmlns:vt="http://schemas.openxmlformats.org/officeDocument/2006/docPropsVTypes">
  <Template>Normal</Template>
  <Pages>10</Pages>
  <Words>1120</Words>
  <Characters>6389</Characters>
  <Lines>53</Lines>
  <Paragraphs>14</Paragraphs>
  <TotalTime>15</TotalTime>
  <ScaleCrop>false</ScaleCrop>
  <LinksUpToDate>false</LinksUpToDate>
  <CharactersWithSpaces>7495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2020-04-30T09:44:00Z</dcterms:created>
  <dc:creator>john</dc:creator>
  <cp:lastModifiedBy>chenming</cp:lastModifiedBy>
  <cp:lastPrinted>2020-04-30T09:27:00Z</cp:lastPrinted>
  <dcterms:modified xsi:type="dcterms:W3CDTF">2020-04-30T10:02:55Z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