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line="360" w:lineRule="auto"/>
        <w:rPr>
          <w:rFonts w:hint="eastAsia" w:ascii="Times New Roman" w:hAnsi="宋体" w:eastAsia="宋体" w:cs="Times New Roman"/>
          <w:b/>
          <w:color w:val="000000"/>
          <w:sz w:val="24"/>
          <w:szCs w:val="22"/>
          <w:lang w:val="en-US" w:eastAsia="zh-CN"/>
        </w:rPr>
      </w:pPr>
      <w:r>
        <w:rPr>
          <w:rFonts w:hint="eastAsia" w:ascii="Times New Roman" w:hAnsi="宋体" w:eastAsia="宋体" w:cs="Times New Roman"/>
          <w:b/>
          <w:color w:val="000000"/>
          <w:sz w:val="24"/>
          <w:szCs w:val="22"/>
          <w:lang w:val="en-US" w:eastAsia="zh-CN"/>
        </w:rPr>
        <w:t>证券代码：300629                                   证券简称：新劲刚</w:t>
      </w:r>
    </w:p>
    <w:p>
      <w:pPr>
        <w:autoSpaceDE w:val="0"/>
        <w:autoSpaceDN w:val="0"/>
        <w:adjustRightInd w:val="0"/>
        <w:spacing w:line="360" w:lineRule="auto"/>
        <w:rPr>
          <w:rFonts w:hint="eastAsia" w:ascii="Times New Roman" w:hAnsi="宋体" w:eastAsia="宋体" w:cs="Times New Roman"/>
          <w:b/>
          <w:color w:val="000000"/>
          <w:sz w:val="24"/>
          <w:szCs w:val="22"/>
          <w:lang w:val="en-US" w:eastAsia="zh-CN"/>
        </w:rPr>
      </w:pPr>
      <w:r>
        <w:rPr>
          <w:rFonts w:hint="eastAsia" w:ascii="Times New Roman" w:hAnsi="宋体" w:eastAsia="宋体" w:cs="Times New Roman"/>
          <w:b/>
          <w:color w:val="000000"/>
          <w:sz w:val="24"/>
          <w:szCs w:val="22"/>
          <w:lang w:val="en-US" w:eastAsia="zh-CN"/>
        </w:rPr>
        <w:t>债券代码：124001                                   债券简称：劲刚定转</w:t>
      </w:r>
    </w:p>
    <w:p>
      <w:pPr>
        <w:autoSpaceDE w:val="0"/>
        <w:autoSpaceDN w:val="0"/>
        <w:adjustRightInd w:val="0"/>
        <w:spacing w:line="360" w:lineRule="auto"/>
        <w:rPr>
          <w:rFonts w:hint="eastAsia" w:ascii="Times New Roman" w:hAnsi="宋体" w:eastAsia="宋体" w:cs="Times New Roman"/>
          <w:b/>
          <w:color w:val="000000"/>
          <w:sz w:val="24"/>
          <w:szCs w:val="22"/>
          <w:lang w:val="en-US" w:eastAsia="zh-CN"/>
        </w:rPr>
      </w:pPr>
      <w:r>
        <w:rPr>
          <w:rFonts w:hint="eastAsia" w:ascii="Times New Roman" w:hAnsi="宋体" w:eastAsia="宋体" w:cs="Times New Roman"/>
          <w:b/>
          <w:color w:val="000000"/>
          <w:sz w:val="24"/>
          <w:szCs w:val="22"/>
        </w:rPr>
        <w:t>债券代码：1240</w:t>
      </w:r>
      <w:r>
        <w:rPr>
          <w:rFonts w:hint="eastAsia" w:ascii="Times New Roman" w:hAnsi="宋体" w:eastAsia="宋体" w:cs="Times New Roman"/>
          <w:b/>
          <w:color w:val="000000"/>
          <w:sz w:val="24"/>
          <w:szCs w:val="22"/>
          <w:lang w:val="en-US" w:eastAsia="zh-CN"/>
        </w:rPr>
        <w:t xml:space="preserve">13                                   </w:t>
      </w:r>
      <w:r>
        <w:rPr>
          <w:rFonts w:hint="eastAsia" w:ascii="Times New Roman" w:hAnsi="宋体" w:eastAsia="宋体" w:cs="Times New Roman"/>
          <w:b/>
          <w:color w:val="000000"/>
          <w:sz w:val="24"/>
          <w:szCs w:val="22"/>
        </w:rPr>
        <w:t>债券简称：劲刚定</w:t>
      </w:r>
      <w:r>
        <w:rPr>
          <w:rFonts w:hint="eastAsia" w:ascii="Times New Roman" w:hAnsi="宋体" w:eastAsia="宋体" w:cs="Times New Roman"/>
          <w:b/>
          <w:color w:val="000000"/>
          <w:sz w:val="24"/>
          <w:szCs w:val="22"/>
          <w:lang w:val="en-US" w:eastAsia="zh-CN"/>
        </w:rPr>
        <w:t>02</w:t>
      </w:r>
    </w:p>
    <w:p>
      <w:pPr>
        <w:autoSpaceDE w:val="0"/>
        <w:autoSpaceDN w:val="0"/>
        <w:adjustRightInd w:val="0"/>
        <w:spacing w:line="360" w:lineRule="auto"/>
        <w:rPr>
          <w:rFonts w:hint="default" w:ascii="Times New Roman" w:hAnsi="宋体" w:eastAsia="宋体" w:cs="Times New Roman"/>
          <w:b/>
          <w:color w:val="000000"/>
          <w:sz w:val="24"/>
          <w:szCs w:val="2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center"/>
        <w:textAlignment w:val="auto"/>
        <w:outlineLvl w:val="9"/>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广东新劲刚新材料科技股份有限公司</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center"/>
        <w:textAlignment w:val="auto"/>
        <w:outlineLvl w:val="9"/>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投资者关系活动记录表</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right"/>
        <w:textAlignment w:val="auto"/>
        <w:outlineLvl w:val="9"/>
        <w:rPr>
          <w:rFonts w:hint="eastAsia"/>
          <w:b w:val="0"/>
          <w:bCs w:val="0"/>
          <w:sz w:val="24"/>
          <w:szCs w:val="24"/>
          <w:lang w:val="en-US" w:eastAsia="zh-CN"/>
        </w:rPr>
      </w:pPr>
      <w:r>
        <w:rPr>
          <w:rFonts w:hint="eastAsia"/>
          <w:b w:val="0"/>
          <w:bCs w:val="0"/>
          <w:sz w:val="24"/>
          <w:szCs w:val="24"/>
          <w:lang w:val="en-US" w:eastAsia="zh-CN"/>
        </w:rPr>
        <w:t>编号：2020-003</w:t>
      </w:r>
    </w:p>
    <w:tbl>
      <w:tblPr>
        <w:tblStyle w:val="3"/>
        <w:tblW w:w="8771" w:type="dxa"/>
        <w:tblInd w:w="-24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34"/>
        <w:gridCol w:w="68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1" w:hRule="atLeast"/>
        </w:trPr>
        <w:tc>
          <w:tcPr>
            <w:tcW w:w="1934"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center"/>
              <w:textAlignment w:val="auto"/>
              <w:outlineLvl w:val="9"/>
              <w:rPr>
                <w:rFonts w:hint="eastAsia"/>
                <w:b/>
                <w:bCs/>
                <w:sz w:val="24"/>
                <w:szCs w:val="24"/>
                <w:vertAlign w:val="baseline"/>
                <w:lang w:val="en-US" w:eastAsia="zh-CN"/>
              </w:rPr>
            </w:pPr>
            <w:r>
              <w:rPr>
                <w:rFonts w:hint="eastAsia"/>
                <w:b/>
                <w:bCs/>
                <w:sz w:val="24"/>
                <w:szCs w:val="24"/>
                <w:lang w:val="en-US" w:eastAsia="zh-CN"/>
              </w:rPr>
              <w:t>投资者关系活动类别</w:t>
            </w:r>
          </w:p>
        </w:tc>
        <w:tc>
          <w:tcPr>
            <w:tcW w:w="683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left"/>
              <w:textAlignment w:val="auto"/>
              <w:outlineLvl w:val="9"/>
              <w:rPr>
                <w:rFonts w:hint="eastAsia"/>
                <w:sz w:val="24"/>
                <w:szCs w:val="24"/>
                <w:vertAlign w:val="baseline"/>
                <w:lang w:val="en-US" w:eastAsia="zh-CN"/>
              </w:rPr>
            </w:pPr>
            <w:r>
              <w:rPr>
                <w:rFonts w:hint="eastAsia"/>
                <w:sz w:val="24"/>
                <w:szCs w:val="24"/>
                <w:vertAlign w:val="baseline"/>
                <w:lang w:val="en-US" w:eastAsia="zh-CN"/>
              </w:rPr>
              <w:t>■特定对象调研  □分析师会议</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left"/>
              <w:textAlignment w:val="auto"/>
              <w:outlineLvl w:val="9"/>
              <w:rPr>
                <w:rFonts w:hint="eastAsia"/>
                <w:sz w:val="24"/>
                <w:szCs w:val="24"/>
                <w:vertAlign w:val="baseline"/>
                <w:lang w:val="en-US" w:eastAsia="zh-CN"/>
              </w:rPr>
            </w:pPr>
            <w:r>
              <w:rPr>
                <w:rFonts w:hint="eastAsia"/>
                <w:sz w:val="24"/>
                <w:szCs w:val="24"/>
                <w:vertAlign w:val="baseline"/>
                <w:lang w:val="en-US" w:eastAsia="zh-CN"/>
              </w:rPr>
              <w:t>□媒体采访      □业绩说明会</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left"/>
              <w:textAlignment w:val="auto"/>
              <w:outlineLvl w:val="9"/>
              <w:rPr>
                <w:rFonts w:hint="eastAsia"/>
                <w:sz w:val="24"/>
                <w:szCs w:val="24"/>
                <w:vertAlign w:val="baseline"/>
                <w:lang w:val="en-US" w:eastAsia="zh-CN"/>
              </w:rPr>
            </w:pPr>
            <w:r>
              <w:rPr>
                <w:rFonts w:hint="eastAsia"/>
                <w:sz w:val="24"/>
                <w:szCs w:val="24"/>
                <w:vertAlign w:val="baseline"/>
                <w:lang w:val="en-US" w:eastAsia="zh-CN"/>
              </w:rPr>
              <w:t>□新闻发布会    □路演活动</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left"/>
              <w:textAlignment w:val="auto"/>
              <w:outlineLvl w:val="9"/>
              <w:rPr>
                <w:rFonts w:hint="eastAsia"/>
                <w:sz w:val="24"/>
                <w:szCs w:val="24"/>
                <w:vertAlign w:val="baseline"/>
                <w:lang w:val="en-US" w:eastAsia="zh-CN"/>
              </w:rPr>
            </w:pPr>
            <w:r>
              <w:rPr>
                <w:rFonts w:hint="eastAsia"/>
                <w:sz w:val="24"/>
                <w:szCs w:val="24"/>
                <w:vertAlign w:val="baseline"/>
                <w:lang w:val="en-US" w:eastAsia="zh-CN"/>
              </w:rPr>
              <w:t>□现场参观</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left"/>
              <w:textAlignment w:val="auto"/>
              <w:outlineLvl w:val="9"/>
              <w:rPr>
                <w:rFonts w:hint="eastAsia"/>
                <w:sz w:val="24"/>
                <w:szCs w:val="24"/>
                <w:vertAlign w:val="baseline"/>
                <w:lang w:val="en-US" w:eastAsia="zh-CN"/>
              </w:rPr>
            </w:pPr>
            <w:r>
              <w:rPr>
                <w:rFonts w:hint="eastAsia"/>
                <w:sz w:val="24"/>
                <w:szCs w:val="24"/>
                <w:vertAlign w:val="baseline"/>
                <w:lang w:val="en-US" w:eastAsia="zh-CN"/>
              </w:rPr>
              <w:t>□其他（请文字说明）</w:t>
            </w:r>
            <w:r>
              <w:rPr>
                <w:rFonts w:hint="eastAsia"/>
                <w:sz w:val="24"/>
                <w:szCs w:val="24"/>
                <w:u w:val="single"/>
                <w:vertAlign w:val="baselin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1" w:hRule="atLeast"/>
        </w:trPr>
        <w:tc>
          <w:tcPr>
            <w:tcW w:w="1934"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center"/>
              <w:textAlignment w:val="auto"/>
              <w:outlineLvl w:val="9"/>
              <w:rPr>
                <w:rFonts w:hint="eastAsia"/>
                <w:b/>
                <w:bCs/>
                <w:sz w:val="24"/>
                <w:szCs w:val="24"/>
                <w:vertAlign w:val="baseline"/>
                <w:lang w:val="en-US" w:eastAsia="zh-CN"/>
              </w:rPr>
            </w:pPr>
            <w:r>
              <w:rPr>
                <w:rFonts w:hint="eastAsia"/>
                <w:b/>
                <w:bCs/>
                <w:sz w:val="24"/>
                <w:szCs w:val="24"/>
                <w:vertAlign w:val="baseline"/>
                <w:lang w:val="en-US" w:eastAsia="zh-CN"/>
              </w:rPr>
              <w:t>参与单位名称及人员姓名</w:t>
            </w:r>
          </w:p>
        </w:tc>
        <w:tc>
          <w:tcPr>
            <w:tcW w:w="683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left"/>
              <w:textAlignment w:val="auto"/>
              <w:outlineLvl w:val="9"/>
              <w:rPr>
                <w:rFonts w:hint="eastAsia"/>
                <w:b/>
                <w:bCs/>
                <w:sz w:val="24"/>
                <w:szCs w:val="24"/>
                <w:lang w:val="en-US" w:eastAsia="zh-CN"/>
              </w:rPr>
            </w:pPr>
            <w:r>
              <w:rPr>
                <w:rFonts w:hint="eastAsia"/>
                <w:b w:val="0"/>
                <w:bCs w:val="0"/>
                <w:sz w:val="24"/>
                <w:szCs w:val="24"/>
                <w:lang w:eastAsia="zh-CN"/>
              </w:rPr>
              <w:t>诺安基金管理有限公司</w:t>
            </w:r>
            <w:r>
              <w:rPr>
                <w:rFonts w:hint="eastAsia"/>
                <w:b w:val="0"/>
                <w:bCs w:val="0"/>
                <w:sz w:val="24"/>
                <w:szCs w:val="24"/>
                <w:lang w:val="en-US" w:eastAsia="zh-CN"/>
              </w:rPr>
              <w:t xml:space="preserve">          张伟民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34"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center"/>
              <w:textAlignment w:val="auto"/>
              <w:outlineLvl w:val="9"/>
              <w:rPr>
                <w:rFonts w:hint="eastAsia"/>
                <w:b/>
                <w:bCs/>
                <w:sz w:val="24"/>
                <w:szCs w:val="24"/>
                <w:vertAlign w:val="baseline"/>
                <w:lang w:val="en-US" w:eastAsia="zh-CN"/>
              </w:rPr>
            </w:pPr>
            <w:r>
              <w:rPr>
                <w:rFonts w:hint="eastAsia"/>
                <w:b/>
                <w:bCs/>
                <w:sz w:val="24"/>
                <w:szCs w:val="24"/>
                <w:vertAlign w:val="baseline"/>
                <w:lang w:val="en-US" w:eastAsia="zh-CN"/>
              </w:rPr>
              <w:t>时间</w:t>
            </w:r>
          </w:p>
        </w:tc>
        <w:tc>
          <w:tcPr>
            <w:tcW w:w="683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left"/>
              <w:textAlignment w:val="auto"/>
              <w:outlineLvl w:val="9"/>
              <w:rPr>
                <w:rFonts w:hint="eastAsia"/>
                <w:sz w:val="24"/>
                <w:szCs w:val="24"/>
                <w:vertAlign w:val="baseline"/>
                <w:lang w:val="en-US" w:eastAsia="zh-CN"/>
              </w:rPr>
            </w:pPr>
            <w:r>
              <w:rPr>
                <w:rFonts w:hint="eastAsia"/>
                <w:sz w:val="24"/>
                <w:szCs w:val="24"/>
                <w:vertAlign w:val="baseline"/>
                <w:lang w:val="en-US" w:eastAsia="zh-CN"/>
              </w:rPr>
              <w:t>2020年6月17日10：00至12：00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34"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center"/>
              <w:textAlignment w:val="auto"/>
              <w:outlineLvl w:val="9"/>
              <w:rPr>
                <w:rFonts w:hint="eastAsia"/>
                <w:b/>
                <w:bCs/>
                <w:sz w:val="24"/>
                <w:szCs w:val="24"/>
                <w:vertAlign w:val="baseline"/>
                <w:lang w:val="en-US" w:eastAsia="zh-CN"/>
              </w:rPr>
            </w:pPr>
            <w:r>
              <w:rPr>
                <w:rFonts w:hint="eastAsia"/>
                <w:b/>
                <w:bCs/>
                <w:sz w:val="24"/>
                <w:szCs w:val="24"/>
                <w:vertAlign w:val="baseline"/>
                <w:lang w:val="en-US" w:eastAsia="zh-CN"/>
              </w:rPr>
              <w:t>地点</w:t>
            </w:r>
          </w:p>
        </w:tc>
        <w:tc>
          <w:tcPr>
            <w:tcW w:w="683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left"/>
              <w:textAlignment w:val="auto"/>
              <w:outlineLvl w:val="9"/>
              <w:rPr>
                <w:rFonts w:hint="eastAsia"/>
                <w:sz w:val="24"/>
                <w:szCs w:val="24"/>
                <w:vertAlign w:val="baseline"/>
                <w:lang w:val="en-US" w:eastAsia="zh-CN"/>
              </w:rPr>
            </w:pPr>
            <w:r>
              <w:rPr>
                <w:rFonts w:hint="eastAsia"/>
                <w:sz w:val="24"/>
                <w:szCs w:val="24"/>
                <w:vertAlign w:val="baseline"/>
                <w:lang w:val="en-US" w:eastAsia="zh-CN"/>
              </w:rPr>
              <w:t>广东宽普科技有限公司会议室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34"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center"/>
              <w:textAlignment w:val="auto"/>
              <w:outlineLvl w:val="9"/>
              <w:rPr>
                <w:rFonts w:hint="eastAsia"/>
                <w:b/>
                <w:bCs/>
                <w:sz w:val="24"/>
                <w:szCs w:val="24"/>
                <w:vertAlign w:val="baseline"/>
                <w:lang w:val="en-US" w:eastAsia="zh-CN"/>
              </w:rPr>
            </w:pPr>
            <w:r>
              <w:rPr>
                <w:rFonts w:hint="eastAsia"/>
                <w:b/>
                <w:bCs/>
                <w:sz w:val="24"/>
                <w:szCs w:val="24"/>
                <w:vertAlign w:val="baseline"/>
                <w:lang w:val="en-US" w:eastAsia="zh-CN"/>
              </w:rPr>
              <w:t>上市公司接待人员姓名</w:t>
            </w:r>
          </w:p>
        </w:tc>
        <w:tc>
          <w:tcPr>
            <w:tcW w:w="683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left"/>
              <w:textAlignment w:val="auto"/>
              <w:outlineLvl w:val="9"/>
              <w:rPr>
                <w:rFonts w:hint="eastAsia"/>
                <w:sz w:val="24"/>
                <w:szCs w:val="24"/>
                <w:vertAlign w:val="baseline"/>
                <w:lang w:val="en-US" w:eastAsia="zh-CN"/>
              </w:rPr>
            </w:pPr>
            <w:r>
              <w:rPr>
                <w:rFonts w:hint="eastAsia"/>
                <w:sz w:val="24"/>
                <w:szCs w:val="24"/>
                <w:vertAlign w:val="baseline"/>
                <w:lang w:val="en-US" w:eastAsia="zh-CN"/>
              </w:rPr>
              <w:t>副总经理、董事会秘书：张天荣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1" w:hRule="atLeast"/>
        </w:trPr>
        <w:tc>
          <w:tcPr>
            <w:tcW w:w="1934"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center"/>
              <w:textAlignment w:val="auto"/>
              <w:outlineLvl w:val="9"/>
              <w:rPr>
                <w:rFonts w:hint="eastAsia"/>
                <w:b/>
                <w:bCs/>
                <w:sz w:val="24"/>
                <w:szCs w:val="24"/>
                <w:vertAlign w:val="baseline"/>
                <w:lang w:val="en-US" w:eastAsia="zh-CN"/>
              </w:rPr>
            </w:pPr>
            <w:r>
              <w:rPr>
                <w:rFonts w:hint="eastAsia"/>
                <w:b/>
                <w:bCs/>
                <w:sz w:val="24"/>
                <w:szCs w:val="24"/>
                <w:vertAlign w:val="baseline"/>
                <w:lang w:val="en-US" w:eastAsia="zh-CN"/>
              </w:rPr>
              <w:t>投资者关系活动</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center"/>
              <w:textAlignment w:val="auto"/>
              <w:outlineLvl w:val="9"/>
              <w:rPr>
                <w:rFonts w:hint="eastAsia"/>
                <w:b/>
                <w:bCs/>
                <w:sz w:val="24"/>
                <w:szCs w:val="24"/>
                <w:vertAlign w:val="baseline"/>
                <w:lang w:val="en-US" w:eastAsia="zh-CN"/>
              </w:rPr>
            </w:pPr>
            <w:r>
              <w:rPr>
                <w:rFonts w:hint="eastAsia"/>
                <w:b/>
                <w:bCs/>
                <w:sz w:val="24"/>
                <w:szCs w:val="24"/>
                <w:vertAlign w:val="baseline"/>
                <w:lang w:val="en-US" w:eastAsia="zh-CN"/>
              </w:rPr>
              <w:t>主要内容介绍</w:t>
            </w:r>
          </w:p>
        </w:tc>
        <w:tc>
          <w:tcPr>
            <w:tcW w:w="6837" w:type="dxa"/>
            <w:vAlign w:val="center"/>
          </w:tcPr>
          <w:p>
            <w:pPr>
              <w:spacing w:before="156" w:beforeLines="50" w:after="156" w:afterLines="50" w:line="360" w:lineRule="auto"/>
              <w:rPr>
                <w:rFonts w:hint="eastAsia" w:ascii="Arial" w:hAnsi="Arial" w:cs="Arial"/>
                <w:b/>
                <w:bCs/>
                <w:sz w:val="24"/>
                <w:szCs w:val="24"/>
                <w:lang w:eastAsia="zh-CN"/>
              </w:rPr>
            </w:pPr>
            <w:r>
              <w:rPr>
                <w:rFonts w:hint="eastAsia" w:ascii="Arial" w:hAnsi="Arial" w:cs="Arial"/>
                <w:b/>
                <w:bCs/>
                <w:sz w:val="24"/>
                <w:szCs w:val="24"/>
                <w:lang w:eastAsia="zh-CN"/>
              </w:rPr>
              <w:t>主要活动综述：</w:t>
            </w:r>
          </w:p>
          <w:p>
            <w:pPr>
              <w:spacing w:before="156" w:beforeLines="50" w:after="156" w:afterLines="50" w:line="360" w:lineRule="auto"/>
              <w:rPr>
                <w:rFonts w:hint="eastAsia" w:ascii="Arial" w:hAnsi="Arial" w:cs="Arial"/>
                <w:sz w:val="24"/>
                <w:szCs w:val="24"/>
                <w:lang w:eastAsia="zh-CN"/>
              </w:rPr>
            </w:pPr>
            <w:r>
              <w:rPr>
                <w:rFonts w:hint="eastAsia" w:ascii="Arial" w:hAnsi="Arial" w:cs="Arial"/>
                <w:sz w:val="24"/>
                <w:szCs w:val="24"/>
                <w:lang w:eastAsia="zh-CN"/>
              </w:rPr>
              <w:t>一、调研问题回复；</w:t>
            </w:r>
          </w:p>
          <w:p>
            <w:pPr>
              <w:spacing w:before="156" w:beforeLines="50" w:after="156" w:afterLines="50" w:line="360" w:lineRule="auto"/>
              <w:rPr>
                <w:rFonts w:hint="eastAsia" w:ascii="Arial" w:hAnsi="Arial" w:cs="Arial"/>
                <w:sz w:val="24"/>
                <w:szCs w:val="24"/>
                <w:lang w:eastAsia="zh-CN"/>
              </w:rPr>
            </w:pPr>
            <w:r>
              <w:rPr>
                <w:rFonts w:hint="eastAsia" w:ascii="Arial" w:hAnsi="Arial" w:cs="Arial"/>
                <w:sz w:val="24"/>
                <w:szCs w:val="24"/>
                <w:lang w:eastAsia="zh-CN"/>
              </w:rPr>
              <w:t>二、自由交流。</w:t>
            </w:r>
          </w:p>
          <w:p>
            <w:pPr>
              <w:spacing w:before="156" w:beforeLines="50" w:after="156" w:afterLines="50" w:line="360" w:lineRule="auto"/>
              <w:rPr>
                <w:rFonts w:hint="eastAsia" w:ascii="Arial" w:hAnsi="Arial" w:cs="Arial"/>
                <w:b/>
                <w:bCs/>
                <w:sz w:val="24"/>
                <w:szCs w:val="24"/>
                <w:lang w:eastAsia="zh-CN"/>
              </w:rPr>
            </w:pPr>
            <w:r>
              <w:rPr>
                <w:rFonts w:hint="eastAsia" w:ascii="Arial" w:hAnsi="Arial" w:cs="Arial"/>
                <w:b/>
                <w:bCs/>
                <w:sz w:val="24"/>
                <w:szCs w:val="24"/>
                <w:lang w:eastAsia="zh-CN"/>
              </w:rPr>
              <w:t>活动具体内容：</w:t>
            </w:r>
          </w:p>
          <w:p>
            <w:pPr>
              <w:spacing w:before="156" w:beforeLines="50" w:after="156" w:afterLines="50" w:line="360" w:lineRule="auto"/>
              <w:rPr>
                <w:rFonts w:hint="eastAsia" w:ascii="Arial" w:hAnsi="Arial" w:cs="Arial"/>
                <w:b/>
                <w:bCs/>
                <w:sz w:val="24"/>
                <w:szCs w:val="24"/>
                <w:lang w:val="en-US" w:eastAsia="zh-CN"/>
              </w:rPr>
            </w:pPr>
            <w:r>
              <w:rPr>
                <w:rFonts w:hint="eastAsia" w:ascii="Arial" w:hAnsi="Arial" w:cs="Arial"/>
                <w:b/>
                <w:bCs/>
                <w:sz w:val="24"/>
                <w:szCs w:val="24"/>
                <w:lang w:val="en-US" w:eastAsia="zh-CN"/>
              </w:rPr>
              <w:t>一、机构提问及回复：</w:t>
            </w:r>
          </w:p>
          <w:p>
            <w:pPr>
              <w:spacing w:before="156" w:beforeLines="50" w:after="156" w:afterLines="50" w:line="360" w:lineRule="auto"/>
              <w:rPr>
                <w:rFonts w:hint="eastAsia" w:ascii="Arial" w:hAnsi="Arial" w:cs="Arial"/>
                <w:b/>
                <w:bCs/>
                <w:sz w:val="24"/>
                <w:szCs w:val="24"/>
                <w:lang w:val="en-US" w:eastAsia="zh-CN"/>
              </w:rPr>
            </w:pPr>
            <w:r>
              <w:rPr>
                <w:rFonts w:hint="eastAsia" w:ascii="Arial" w:hAnsi="Arial" w:cs="Arial"/>
                <w:b/>
                <w:bCs/>
                <w:sz w:val="24"/>
                <w:szCs w:val="24"/>
                <w:lang w:val="en-US" w:eastAsia="zh-CN"/>
              </w:rPr>
              <w:t>1，收购宽普科技后，军品电子业务是否会对此前业务毛利率带来较大改变？</w:t>
            </w:r>
          </w:p>
          <w:p>
            <w:pPr>
              <w:spacing w:before="156" w:beforeLines="50" w:after="156" w:afterLines="50" w:line="360" w:lineRule="auto"/>
              <w:rPr>
                <w:rFonts w:hint="eastAsia" w:ascii="Arial" w:hAnsi="Arial" w:cs="Arial"/>
                <w:sz w:val="24"/>
                <w:szCs w:val="24"/>
                <w:lang w:eastAsia="zh-CN"/>
              </w:rPr>
            </w:pPr>
            <w:r>
              <w:rPr>
                <w:rFonts w:hint="eastAsia" w:ascii="Arial" w:hAnsi="Arial" w:cs="Arial"/>
                <w:sz w:val="24"/>
                <w:szCs w:val="24"/>
                <w:lang w:eastAsia="zh-CN"/>
              </w:rPr>
              <w:t>答：公司原有业务毛利率30%，宽普科技毛利率在57%左右，后续随着宽普科技收入占比的提升，公司毛利率预计会有一个相应的提升。</w:t>
            </w:r>
          </w:p>
          <w:p>
            <w:pPr>
              <w:spacing w:before="156" w:beforeLines="50" w:after="156" w:afterLines="50" w:line="360" w:lineRule="auto"/>
              <w:rPr>
                <w:rFonts w:hint="eastAsia" w:ascii="Arial" w:hAnsi="Arial" w:cs="Arial"/>
                <w:b/>
                <w:bCs/>
                <w:sz w:val="24"/>
                <w:szCs w:val="24"/>
                <w:lang w:val="en-US" w:eastAsia="zh-CN"/>
              </w:rPr>
            </w:pPr>
            <w:r>
              <w:rPr>
                <w:rFonts w:hint="eastAsia" w:ascii="Arial" w:hAnsi="Arial" w:cs="Arial"/>
                <w:b/>
                <w:bCs/>
                <w:sz w:val="24"/>
                <w:szCs w:val="24"/>
                <w:lang w:val="en-US" w:eastAsia="zh-CN"/>
              </w:rPr>
              <w:t>2，公司在军工领域或宽普科技所处的军工电子领域，是否有进一步通过并购丰富业务类型、完善军工产业布局或扩大规模的远期规划？</w:t>
            </w:r>
          </w:p>
          <w:p>
            <w:pPr>
              <w:spacing w:before="156" w:beforeLines="50" w:after="156" w:afterLines="50" w:line="360" w:lineRule="auto"/>
              <w:rPr>
                <w:rFonts w:hint="eastAsia" w:ascii="Arial" w:hAnsi="Arial" w:cs="Arial"/>
                <w:sz w:val="24"/>
                <w:szCs w:val="24"/>
                <w:lang w:eastAsia="zh-CN"/>
              </w:rPr>
            </w:pPr>
            <w:r>
              <w:rPr>
                <w:rFonts w:hint="eastAsia" w:ascii="Arial" w:hAnsi="Arial" w:cs="Arial"/>
                <w:sz w:val="24"/>
                <w:szCs w:val="24"/>
                <w:lang w:eastAsia="zh-CN"/>
              </w:rPr>
              <w:t>答：宽普科技主营射频发射通路的整体解决方案</w:t>
            </w:r>
            <w:bookmarkStart w:id="0" w:name="_GoBack"/>
            <w:bookmarkEnd w:id="0"/>
            <w:r>
              <w:rPr>
                <w:rFonts w:hint="eastAsia" w:ascii="Arial" w:hAnsi="Arial" w:cs="Arial"/>
                <w:sz w:val="24"/>
                <w:szCs w:val="24"/>
                <w:lang w:eastAsia="zh-CN"/>
              </w:rPr>
              <w:t>，在整个军工电子领域占很小的一个细分市场，公司未来的定位主要是：“稳传统，强军工”。原有的业务主要是求稳定，谋求市场风险可控。军品业务方面目前公司有军工材料和军工电子两块业务，由于军工电子业务的确定性，未来公司主要发展军工电子方向。在宽普科技进一步扩展市场份额的同时，公司不排除有进一步并购相关协同军品业务的可能性。</w:t>
            </w:r>
          </w:p>
          <w:p>
            <w:pPr>
              <w:spacing w:before="156" w:beforeLines="50" w:after="156" w:afterLines="50" w:line="360" w:lineRule="auto"/>
              <w:rPr>
                <w:rFonts w:hint="eastAsia" w:ascii="Arial" w:hAnsi="Arial" w:cs="Arial"/>
                <w:b/>
                <w:bCs/>
                <w:sz w:val="24"/>
                <w:szCs w:val="24"/>
                <w:lang w:val="en-US" w:eastAsia="zh-CN"/>
              </w:rPr>
            </w:pPr>
            <w:r>
              <w:rPr>
                <w:rFonts w:hint="eastAsia" w:ascii="Arial" w:hAnsi="Arial" w:cs="Arial"/>
                <w:b/>
                <w:bCs/>
                <w:sz w:val="24"/>
                <w:szCs w:val="24"/>
                <w:lang w:val="en-US" w:eastAsia="zh-CN"/>
              </w:rPr>
              <w:t>3，子公司宽普科技未来有没有相关的单独上市计划？</w:t>
            </w:r>
          </w:p>
          <w:p>
            <w:pPr>
              <w:spacing w:before="156" w:beforeLines="50" w:after="156" w:afterLines="50" w:line="360" w:lineRule="auto"/>
              <w:rPr>
                <w:rFonts w:hint="eastAsia" w:ascii="Arial" w:hAnsi="Arial" w:cs="Arial"/>
                <w:sz w:val="24"/>
                <w:szCs w:val="24"/>
                <w:lang w:eastAsia="zh-CN"/>
              </w:rPr>
            </w:pPr>
            <w:r>
              <w:rPr>
                <w:rFonts w:hint="eastAsia" w:ascii="Arial" w:hAnsi="Arial" w:cs="Arial"/>
                <w:sz w:val="24"/>
                <w:szCs w:val="24"/>
                <w:lang w:eastAsia="zh-CN"/>
              </w:rPr>
              <w:t>答：宽普科技目前还不符合相关上市条件，目前主要是做好当下业务，增强技术，暂未考虑相关上市计划。未来随着公司和资本市场的发展，公司秉持股东利益最大化的理念，会按照符合股东诉求的角度去制定相关计划。</w:t>
            </w:r>
          </w:p>
          <w:p>
            <w:pPr>
              <w:spacing w:before="156" w:beforeLines="50" w:after="156" w:afterLines="50" w:line="360" w:lineRule="auto"/>
              <w:rPr>
                <w:rFonts w:hint="eastAsia" w:ascii="Arial" w:hAnsi="Arial" w:cs="Arial"/>
                <w:b/>
                <w:bCs/>
                <w:sz w:val="24"/>
                <w:szCs w:val="24"/>
                <w:lang w:val="en-US" w:eastAsia="zh-CN"/>
              </w:rPr>
            </w:pPr>
            <w:r>
              <w:rPr>
                <w:rFonts w:hint="eastAsia" w:ascii="Arial" w:hAnsi="Arial" w:cs="Arial"/>
                <w:b/>
                <w:bCs/>
                <w:sz w:val="24"/>
                <w:szCs w:val="24"/>
                <w:lang w:val="en-US" w:eastAsia="zh-CN"/>
              </w:rPr>
              <w:t>4，公司军品业务一季度经营业绩良好，之后是否会有按季度增长的趋势？</w:t>
            </w:r>
          </w:p>
          <w:p>
            <w:pPr>
              <w:spacing w:before="156" w:beforeLines="50" w:after="156" w:afterLines="50" w:line="360" w:lineRule="auto"/>
              <w:rPr>
                <w:rFonts w:hint="eastAsia" w:ascii="Arial" w:hAnsi="Arial" w:cs="Arial"/>
                <w:sz w:val="24"/>
                <w:szCs w:val="24"/>
                <w:lang w:eastAsia="zh-CN"/>
              </w:rPr>
            </w:pPr>
            <w:r>
              <w:rPr>
                <w:rFonts w:hint="eastAsia" w:ascii="Arial" w:hAnsi="Arial" w:cs="Arial"/>
                <w:sz w:val="24"/>
                <w:szCs w:val="24"/>
                <w:lang w:eastAsia="zh-CN"/>
              </w:rPr>
              <w:t>答：目前来看公司军品业务没有明显的季节性，公司确认军品收入的时间周期主要取决于下游验收的进度。</w:t>
            </w:r>
          </w:p>
          <w:p>
            <w:pPr>
              <w:spacing w:before="156" w:beforeLines="50" w:after="156" w:afterLines="50" w:line="360" w:lineRule="auto"/>
              <w:rPr>
                <w:rFonts w:hint="eastAsia" w:ascii="Arial" w:hAnsi="Arial" w:cs="Arial"/>
                <w:b/>
                <w:bCs/>
                <w:sz w:val="24"/>
                <w:szCs w:val="24"/>
                <w:lang w:val="en-US" w:eastAsia="zh-CN"/>
              </w:rPr>
            </w:pPr>
            <w:r>
              <w:rPr>
                <w:rFonts w:hint="eastAsia" w:ascii="Arial" w:hAnsi="Arial" w:cs="Arial"/>
                <w:b/>
                <w:bCs/>
                <w:sz w:val="24"/>
                <w:szCs w:val="24"/>
                <w:lang w:val="en-US" w:eastAsia="zh-CN"/>
              </w:rPr>
              <w:t>5，传统业务方面，由于公司金属基超硬材料制品及配套产品主要用于建筑陶瓷加工领域，且此类业务近一半左右在海外（越南、印度等东南亚地区），未来公司对于此类业务在海外的发展预期和规划是怎样的？公司产品在海外的竞争地位和优势？</w:t>
            </w:r>
          </w:p>
          <w:p>
            <w:pPr>
              <w:spacing w:before="156" w:beforeLines="50" w:after="156" w:afterLines="50" w:line="360" w:lineRule="auto"/>
              <w:rPr>
                <w:rFonts w:hint="eastAsia" w:ascii="Arial" w:hAnsi="Arial" w:cs="Arial"/>
                <w:sz w:val="24"/>
                <w:szCs w:val="24"/>
                <w:lang w:eastAsia="zh-CN"/>
              </w:rPr>
            </w:pPr>
            <w:r>
              <w:rPr>
                <w:rFonts w:hint="eastAsia" w:ascii="Arial" w:hAnsi="Arial" w:cs="Arial"/>
                <w:sz w:val="24"/>
                <w:szCs w:val="24"/>
                <w:lang w:eastAsia="zh-CN"/>
              </w:rPr>
              <w:t>答：公司传统业务超硬金属基复材下游主要是建筑陶瓷。国外目前建筑领域经营风险小，经营状况相比境内业务更好。由于国内在此方面的技术积累和技术水平远高于东南亚国家，所以在国外，如越南等地，公司市场地位很高。但从未来发展规划角度来讲，公司会把工作重心转移到军工业务上。</w:t>
            </w:r>
          </w:p>
          <w:p>
            <w:pPr>
              <w:spacing w:before="156" w:beforeLines="50" w:after="156" w:afterLines="50" w:line="360" w:lineRule="auto"/>
              <w:rPr>
                <w:rFonts w:hint="eastAsia" w:ascii="Arial" w:hAnsi="Arial" w:cs="Arial"/>
                <w:b/>
                <w:bCs/>
                <w:sz w:val="24"/>
                <w:szCs w:val="24"/>
                <w:lang w:val="en-US" w:eastAsia="zh-CN"/>
              </w:rPr>
            </w:pPr>
            <w:r>
              <w:rPr>
                <w:rFonts w:hint="eastAsia" w:ascii="Arial" w:hAnsi="Arial" w:cs="Arial"/>
                <w:b/>
                <w:bCs/>
                <w:sz w:val="24"/>
                <w:szCs w:val="24"/>
                <w:lang w:val="en-US" w:eastAsia="zh-CN"/>
              </w:rPr>
              <w:t>6，公司目前对宽普科技员工是否有激励机制（如股权激励）方面的计划？</w:t>
            </w:r>
          </w:p>
          <w:p>
            <w:pPr>
              <w:spacing w:before="156" w:beforeLines="50" w:after="156" w:afterLines="50" w:line="360" w:lineRule="auto"/>
              <w:rPr>
                <w:rFonts w:hint="eastAsia" w:ascii="Arial" w:hAnsi="Arial" w:cs="Arial"/>
                <w:sz w:val="24"/>
                <w:szCs w:val="24"/>
                <w:lang w:eastAsia="zh-CN"/>
              </w:rPr>
            </w:pPr>
            <w:r>
              <w:rPr>
                <w:rFonts w:hint="eastAsia" w:ascii="Arial" w:hAnsi="Arial" w:cs="Arial"/>
                <w:sz w:val="24"/>
                <w:szCs w:val="24"/>
                <w:lang w:eastAsia="zh-CN"/>
              </w:rPr>
              <w:t>答：公司相信好的激励机制能够吸引人才并留住人才，从而进一步激发员工为公司奋斗的动力。目前国内上市公司激励机制相关政策丰富，公司未来也会在适当的时候考虑此类计划安排。</w:t>
            </w:r>
          </w:p>
          <w:p>
            <w:pPr>
              <w:spacing w:before="156" w:beforeLines="50" w:after="156" w:afterLines="50" w:line="360" w:lineRule="auto"/>
              <w:ind w:firstLine="480" w:firstLineChars="200"/>
              <w:rPr>
                <w:rFonts w:hint="eastAsia"/>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34"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center"/>
              <w:textAlignment w:val="auto"/>
              <w:outlineLvl w:val="9"/>
              <w:rPr>
                <w:rFonts w:hint="eastAsia"/>
                <w:b/>
                <w:bCs/>
                <w:sz w:val="24"/>
                <w:szCs w:val="24"/>
                <w:vertAlign w:val="baseline"/>
                <w:lang w:val="en-US" w:eastAsia="zh-CN"/>
              </w:rPr>
            </w:pPr>
            <w:r>
              <w:rPr>
                <w:rFonts w:hint="eastAsia"/>
                <w:b/>
                <w:bCs/>
                <w:sz w:val="24"/>
                <w:szCs w:val="24"/>
                <w:vertAlign w:val="baseline"/>
                <w:lang w:val="en-US" w:eastAsia="zh-CN"/>
              </w:rPr>
              <w:t>附件清单</w:t>
            </w:r>
            <w:r>
              <w:rPr>
                <w:rFonts w:hint="eastAsia"/>
                <w:b/>
                <w:bCs/>
                <w:sz w:val="24"/>
                <w:szCs w:val="24"/>
                <w:vertAlign w:val="baseline"/>
                <w:lang w:val="en-US" w:eastAsia="zh-CN"/>
              </w:rPr>
              <w:br w:type="textWrapping"/>
            </w:r>
            <w:r>
              <w:rPr>
                <w:rFonts w:hint="eastAsia"/>
                <w:b/>
                <w:bCs/>
                <w:sz w:val="24"/>
                <w:szCs w:val="24"/>
                <w:vertAlign w:val="baseline"/>
                <w:lang w:val="en-US" w:eastAsia="zh-CN"/>
              </w:rPr>
              <w:t>（如有）</w:t>
            </w:r>
          </w:p>
        </w:tc>
        <w:tc>
          <w:tcPr>
            <w:tcW w:w="683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center"/>
              <w:textAlignment w:val="auto"/>
              <w:outlineLvl w:val="9"/>
              <w:rPr>
                <w:rFonts w:hint="eastAsia"/>
                <w:sz w:val="24"/>
                <w:szCs w:val="24"/>
                <w:vertAlign w:val="baseline"/>
                <w:lang w:val="en-US" w:eastAsia="zh-CN"/>
              </w:rPr>
            </w:pPr>
            <w:r>
              <w:rPr>
                <w:rFonts w:hint="eastAsia"/>
                <w:sz w:val="24"/>
                <w:szCs w:val="24"/>
                <w:vertAlign w:val="baseli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34"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center"/>
              <w:textAlignment w:val="auto"/>
              <w:outlineLvl w:val="9"/>
              <w:rPr>
                <w:rFonts w:hint="eastAsia"/>
                <w:b/>
                <w:bCs/>
                <w:sz w:val="24"/>
                <w:szCs w:val="24"/>
                <w:vertAlign w:val="baseline"/>
                <w:lang w:val="en-US" w:eastAsia="zh-CN"/>
              </w:rPr>
            </w:pPr>
            <w:r>
              <w:rPr>
                <w:rFonts w:hint="eastAsia"/>
                <w:b/>
                <w:bCs/>
                <w:sz w:val="24"/>
                <w:szCs w:val="24"/>
                <w:vertAlign w:val="baseline"/>
                <w:lang w:val="en-US" w:eastAsia="zh-CN"/>
              </w:rPr>
              <w:t>日期</w:t>
            </w:r>
          </w:p>
        </w:tc>
        <w:tc>
          <w:tcPr>
            <w:tcW w:w="683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center"/>
              <w:textAlignment w:val="auto"/>
              <w:outlineLvl w:val="9"/>
              <w:rPr>
                <w:rFonts w:hint="eastAsia"/>
                <w:sz w:val="24"/>
                <w:szCs w:val="24"/>
                <w:vertAlign w:val="baseline"/>
                <w:lang w:val="en-US" w:eastAsia="zh-CN"/>
              </w:rPr>
            </w:pPr>
            <w:r>
              <w:rPr>
                <w:rFonts w:hint="eastAsia"/>
                <w:sz w:val="24"/>
                <w:szCs w:val="24"/>
                <w:vertAlign w:val="baseline"/>
                <w:lang w:val="en-US" w:eastAsia="zh-CN"/>
              </w:rPr>
              <w:t>2020年6月17日</w:t>
            </w:r>
          </w:p>
        </w:tc>
      </w:tr>
    </w:tbl>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left"/>
        <w:textAlignment w:val="auto"/>
        <w:outlineLvl w:val="9"/>
        <w:rPr>
          <w:rFonts w:hint="eastAsia"/>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CC85FC0"/>
    <w:rsid w:val="0CE43E2E"/>
    <w:rsid w:val="0D3827A3"/>
    <w:rsid w:val="1CC85FC0"/>
    <w:rsid w:val="22DE231F"/>
    <w:rsid w:val="24EA6C7B"/>
    <w:rsid w:val="25A5314B"/>
    <w:rsid w:val="279956AA"/>
    <w:rsid w:val="3CCF6EAD"/>
    <w:rsid w:val="408A338F"/>
    <w:rsid w:val="4B8C69DC"/>
    <w:rsid w:val="5CA11838"/>
    <w:rsid w:val="752F287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TotalTime>
  <ScaleCrop>false</ScaleCrop>
  <LinksUpToDate>false</LinksUpToDate>
  <CharactersWithSpaces>0</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2017-05-08T01:23:00Z</dcterms:created>
  <dc:creator>li</dc:creator>
  <cp:lastModifiedBy>周一波</cp:lastModifiedBy>
  <dcterms:modified xsi:type="dcterms:W3CDTF">2020-06-17T10:13:01Z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