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rPr>
          <w:rFonts w:ascii="宋体" w:hAnsi="宋体"/>
          <w:bCs/>
          <w:iCs/>
          <w:color w:val="000000"/>
          <w:szCs w:val="21"/>
        </w:rPr>
      </w:pPr>
      <w:r>
        <w:rPr>
          <w:rFonts w:hint="eastAsia" w:ascii="宋体" w:hAnsi="宋体"/>
          <w:bCs/>
          <w:iCs/>
          <w:color w:val="000000"/>
          <w:szCs w:val="21"/>
        </w:rPr>
        <w:t>证券代码：</w:t>
      </w:r>
      <w:r>
        <w:rPr>
          <w:rFonts w:ascii="宋体" w:hAnsi="宋体"/>
          <w:bCs/>
          <w:iCs/>
          <w:color w:val="000000"/>
          <w:szCs w:val="21"/>
        </w:rPr>
        <w:t xml:space="preserve">002353                                             </w:t>
      </w:r>
      <w:r>
        <w:rPr>
          <w:rFonts w:hint="eastAsia" w:ascii="宋体" w:hAnsi="宋体"/>
          <w:bCs/>
          <w:iCs/>
          <w:color w:val="000000"/>
          <w:szCs w:val="21"/>
        </w:rPr>
        <w:t>证券简称：杰瑞股份</w:t>
      </w:r>
    </w:p>
    <w:p>
      <w:pPr>
        <w:spacing w:before="156" w:beforeLines="50" w:after="156" w:afterLines="50" w:line="400" w:lineRule="exact"/>
        <w:jc w:val="center"/>
        <w:rPr>
          <w:rFonts w:ascii="宋体" w:hAnsi="宋体"/>
          <w:b/>
          <w:bCs/>
          <w:iCs/>
          <w:color w:val="000000"/>
          <w:sz w:val="28"/>
          <w:szCs w:val="32"/>
        </w:rPr>
      </w:pPr>
      <w:r>
        <w:rPr>
          <w:rFonts w:hint="eastAsia" w:ascii="宋体" w:hAnsi="宋体"/>
          <w:b/>
          <w:bCs/>
          <w:iCs/>
          <w:color w:val="000000"/>
          <w:sz w:val="28"/>
          <w:szCs w:val="32"/>
        </w:rPr>
        <w:t>烟台杰瑞石油服务集团股份有限公司投资者关系活动记录表</w:t>
      </w:r>
    </w:p>
    <w:p>
      <w:pPr>
        <w:spacing w:line="400" w:lineRule="exact"/>
        <w:rPr>
          <w:rFonts w:ascii="宋体" w:hAnsi="宋体"/>
          <w:bCs/>
          <w:iCs/>
          <w:color w:val="000000"/>
        </w:rPr>
      </w:pPr>
      <w:r>
        <w:rPr>
          <w:rFonts w:ascii="宋体" w:hAnsi="宋体"/>
          <w:bCs/>
          <w:iCs/>
          <w:color w:val="000000"/>
          <w:sz w:val="24"/>
        </w:rPr>
        <w:t xml:space="preserve">                                                       </w:t>
      </w:r>
      <w:r>
        <w:rPr>
          <w:rFonts w:ascii="宋体" w:hAnsi="宋体"/>
          <w:bCs/>
          <w:iCs/>
          <w:color w:val="000000"/>
        </w:rPr>
        <w:t xml:space="preserve"> </w:t>
      </w:r>
      <w:r>
        <w:rPr>
          <w:rFonts w:hint="eastAsia" w:ascii="宋体" w:hAnsi="宋体"/>
          <w:bCs/>
          <w:iCs/>
          <w:color w:val="000000"/>
        </w:rPr>
        <w:t>编号：</w:t>
      </w:r>
      <w:r>
        <w:rPr>
          <w:rFonts w:ascii="宋体" w:hAnsi="宋体"/>
          <w:bCs/>
          <w:iCs/>
          <w:color w:val="000000"/>
        </w:rPr>
        <w:t>202</w:t>
      </w:r>
      <w:r>
        <w:rPr>
          <w:rFonts w:hint="eastAsia" w:ascii="宋体" w:hAnsi="宋体"/>
          <w:bCs/>
          <w:iCs/>
          <w:color w:val="000000"/>
        </w:rPr>
        <w:t>10120</w:t>
      </w:r>
    </w:p>
    <w:tbl>
      <w:tblPr>
        <w:tblStyle w:val="8"/>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8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72" w:type="dxa"/>
            <w:vAlign w:val="center"/>
          </w:tcPr>
          <w:p>
            <w:pPr>
              <w:jc w:val="center"/>
              <w:rPr>
                <w:b/>
              </w:rPr>
            </w:pPr>
            <w:r>
              <w:rPr>
                <w:rFonts w:hint="eastAsia"/>
                <w:b/>
              </w:rPr>
              <w:t>投资者关系活动类别</w:t>
            </w:r>
          </w:p>
        </w:tc>
        <w:tc>
          <w:tcPr>
            <w:tcW w:w="8080" w:type="dxa"/>
          </w:tcPr>
          <w:p>
            <w:r>
              <w:rPr>
                <w:rFonts w:hint="eastAsia" w:ascii="宋体" w:hAnsi="宋体"/>
                <w:bCs/>
                <w:iCs/>
                <w:color w:val="000000"/>
              </w:rPr>
              <w:t>√</w:t>
            </w:r>
            <w:r>
              <w:rPr>
                <w:rFonts w:hint="eastAsia"/>
                <w:szCs w:val="28"/>
              </w:rPr>
              <w:t>特定对象调研</w:t>
            </w:r>
            <w:r>
              <w:rPr>
                <w:szCs w:val="28"/>
              </w:rPr>
              <w:t xml:space="preserve">        </w:t>
            </w:r>
            <w:r>
              <w:rPr>
                <w:rFonts w:hint="eastAsia"/>
              </w:rPr>
              <w:t>□</w:t>
            </w:r>
            <w:r>
              <w:rPr>
                <w:rFonts w:hint="eastAsia"/>
                <w:szCs w:val="28"/>
              </w:rPr>
              <w:t>分析师会议</w:t>
            </w:r>
          </w:p>
          <w:p>
            <w:r>
              <w:rPr>
                <w:rFonts w:hint="eastAsia"/>
              </w:rPr>
              <w:t>□</w:t>
            </w:r>
            <w:r>
              <w:rPr>
                <w:rFonts w:hint="eastAsia"/>
                <w:szCs w:val="28"/>
              </w:rPr>
              <w:t>媒体采访</w:t>
            </w:r>
            <w:r>
              <w:rPr>
                <w:szCs w:val="28"/>
              </w:rPr>
              <w:t xml:space="preserve">            </w:t>
            </w:r>
            <w:r>
              <w:rPr>
                <w:rFonts w:hint="eastAsia"/>
              </w:rPr>
              <w:t>□</w:t>
            </w:r>
            <w:r>
              <w:rPr>
                <w:rFonts w:hint="eastAsia"/>
                <w:szCs w:val="28"/>
              </w:rPr>
              <w:t>业绩说明会</w:t>
            </w:r>
          </w:p>
          <w:p>
            <w:r>
              <w:rPr>
                <w:rFonts w:hint="eastAsia"/>
              </w:rPr>
              <w:t>□</w:t>
            </w:r>
            <w:r>
              <w:rPr>
                <w:rFonts w:hint="eastAsia"/>
                <w:szCs w:val="28"/>
              </w:rPr>
              <w:t>新闻发布会</w:t>
            </w:r>
            <w:r>
              <w:rPr>
                <w:szCs w:val="28"/>
              </w:rPr>
              <w:t xml:space="preserve">          </w:t>
            </w:r>
            <w:r>
              <w:rPr>
                <w:rFonts w:hint="eastAsia"/>
              </w:rPr>
              <w:t>□</w:t>
            </w:r>
            <w:r>
              <w:rPr>
                <w:rFonts w:hint="eastAsia"/>
                <w:szCs w:val="28"/>
              </w:rPr>
              <w:t>路演活动</w:t>
            </w:r>
          </w:p>
          <w:p>
            <w:r>
              <w:rPr>
                <w:rFonts w:hint="eastAsia" w:ascii="宋体" w:hAnsi="宋体"/>
                <w:bCs/>
                <w:iCs/>
                <w:color w:val="000000"/>
              </w:rPr>
              <w:t>√</w:t>
            </w:r>
            <w:r>
              <w:rPr>
                <w:rFonts w:hint="eastAsia"/>
                <w:szCs w:val="28"/>
              </w:rPr>
              <w:t>现场参观</w:t>
            </w:r>
          </w:p>
          <w:p>
            <w:r>
              <w:rPr>
                <w:rFonts w:hint="eastAsia"/>
              </w:rPr>
              <w:t>□</w:t>
            </w:r>
            <w:r>
              <w:rPr>
                <w:rFonts w:hint="eastAsia"/>
                <w:szCs w:val="28"/>
              </w:rPr>
              <w:t>其他</w:t>
            </w:r>
            <w:r>
              <w:rPr>
                <w:szCs w:val="28"/>
              </w:rPr>
              <w:t xml:space="preserve"> </w:t>
            </w:r>
            <w:r>
              <w:rPr>
                <w:rFonts w:hint="eastAsia"/>
                <w:szCs w:val="28"/>
              </w:rPr>
              <w:t>（</w:t>
            </w:r>
            <w:r>
              <w:rPr>
                <w:rFonts w:hint="eastAsia"/>
                <w:szCs w:val="28"/>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72" w:type="dxa"/>
            <w:vAlign w:val="center"/>
          </w:tcPr>
          <w:p>
            <w:pPr>
              <w:jc w:val="center"/>
              <w:rPr>
                <w:b/>
              </w:rPr>
            </w:pPr>
            <w:r>
              <w:rPr>
                <w:rFonts w:hint="eastAsia"/>
                <w:b/>
              </w:rPr>
              <w:t>参与单位名称及人员姓名</w:t>
            </w:r>
          </w:p>
        </w:tc>
        <w:tc>
          <w:tcPr>
            <w:tcW w:w="8080" w:type="dxa"/>
            <w:vAlign w:val="center"/>
          </w:tcPr>
          <w:tbl>
            <w:tblPr>
              <w:tblStyle w:val="19"/>
              <w:tblW w:w="7389" w:type="dxa"/>
              <w:tblInd w:w="0" w:type="dxa"/>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78"/>
              <w:gridCol w:w="4252"/>
              <w:gridCol w:w="2259"/>
            </w:tblGrid>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878" w:type="dxa"/>
                  <w:tcBorders>
                    <w:top w:val="single" w:color="000000" w:themeColor="text1" w:sz="8" w:space="0"/>
                    <w:left w:val="nil"/>
                    <w:bottom w:val="single" w:color="000000" w:themeColor="text1" w:sz="8" w:space="0"/>
                    <w:right w:val="nil"/>
                    <w:insideH w:val="single" w:sz="8" w:space="0"/>
                    <w:insideV w:val="nil"/>
                  </w:tcBorders>
                </w:tcPr>
                <w:p>
                  <w:pPr>
                    <w:spacing w:before="0" w:after="0" w:line="240" w:lineRule="auto"/>
                    <w:jc w:val="center"/>
                    <w:rPr>
                      <w:b w:val="0"/>
                      <w:bCs w:val="0"/>
                      <w:color w:val="000000" w:themeColor="text1" w:themeShade="BF"/>
                      <w:szCs w:val="21"/>
                    </w:rPr>
                  </w:pPr>
                  <w:r>
                    <w:rPr>
                      <w:rFonts w:hint="eastAsia"/>
                      <w:b/>
                      <w:bCs/>
                      <w:color w:val="000000" w:themeColor="text1" w:themeShade="BF"/>
                      <w:szCs w:val="21"/>
                    </w:rPr>
                    <w:t>序号</w:t>
                  </w:r>
                </w:p>
              </w:tc>
              <w:tc>
                <w:tcPr>
                  <w:tcW w:w="4252" w:type="dxa"/>
                  <w:tcBorders>
                    <w:top w:val="single" w:color="000000" w:themeColor="text1" w:sz="8" w:space="0"/>
                    <w:bottom w:val="single" w:color="000000" w:themeColor="text1" w:sz="8" w:space="0"/>
                    <w:right w:val="nil"/>
                    <w:insideH w:val="single" w:sz="8" w:space="0"/>
                    <w:insideV w:val="nil"/>
                  </w:tcBorders>
                </w:tcPr>
                <w:p>
                  <w:pPr>
                    <w:spacing w:before="0" w:after="0" w:line="240" w:lineRule="auto"/>
                    <w:jc w:val="center"/>
                    <w:rPr>
                      <w:b w:val="0"/>
                      <w:bCs w:val="0"/>
                      <w:color w:val="000000" w:themeColor="text1" w:themeShade="BF"/>
                      <w:szCs w:val="21"/>
                    </w:rPr>
                  </w:pPr>
                  <w:r>
                    <w:rPr>
                      <w:rFonts w:hint="eastAsia"/>
                      <w:b/>
                      <w:bCs/>
                      <w:color w:val="000000" w:themeColor="text1" w:themeShade="BF"/>
                      <w:szCs w:val="21"/>
                    </w:rPr>
                    <w:t>代表机构</w:t>
                  </w:r>
                </w:p>
              </w:tc>
              <w:tc>
                <w:tcPr>
                  <w:tcW w:w="2259" w:type="dxa"/>
                  <w:tcBorders>
                    <w:top w:val="single" w:color="000000" w:themeColor="text1" w:sz="8" w:space="0"/>
                    <w:bottom w:val="single" w:color="000000" w:themeColor="text1" w:sz="8" w:space="0"/>
                    <w:right w:val="nil"/>
                    <w:insideH w:val="single" w:sz="8" w:space="0"/>
                    <w:insideV w:val="nil"/>
                  </w:tcBorders>
                </w:tcPr>
                <w:p>
                  <w:pPr>
                    <w:spacing w:before="0" w:after="0" w:line="240" w:lineRule="auto"/>
                    <w:jc w:val="center"/>
                    <w:rPr>
                      <w:b w:val="0"/>
                      <w:bCs w:val="0"/>
                      <w:color w:val="000000" w:themeColor="text1" w:themeShade="BF"/>
                      <w:szCs w:val="21"/>
                    </w:rPr>
                  </w:pPr>
                  <w:r>
                    <w:rPr>
                      <w:rFonts w:hint="eastAsia"/>
                      <w:b/>
                      <w:bCs/>
                      <w:color w:val="000000" w:themeColor="text1" w:themeShade="BF"/>
                      <w:szCs w:val="21"/>
                    </w:rPr>
                    <w:t>姓</w:t>
                  </w:r>
                  <w:r>
                    <w:rPr>
                      <w:b/>
                      <w:bCs/>
                      <w:color w:val="000000" w:themeColor="text1" w:themeShade="BF"/>
                      <w:szCs w:val="21"/>
                    </w:rPr>
                    <w:t xml:space="preserve">  </w:t>
                  </w:r>
                  <w:r>
                    <w:rPr>
                      <w:rFonts w:hint="eastAsia"/>
                      <w:b/>
                      <w:bCs/>
                      <w:color w:val="000000" w:themeColor="text1" w:themeShade="BF"/>
                      <w:szCs w:val="21"/>
                    </w:rPr>
                    <w:t>名</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78" w:type="dxa"/>
                  <w:tcBorders>
                    <w:left w:val="nil"/>
                    <w:right w:val="nil"/>
                  </w:tcBorders>
                  <w:shd w:val="clear" w:color="auto" w:fill="BFBFBF" w:themeFill="text1" w:themeFillTint="3F"/>
                  <w:vAlign w:val="center"/>
                </w:tcPr>
                <w:p>
                  <w:pPr>
                    <w:jc w:val="center"/>
                    <w:rPr>
                      <w:rFonts w:cs="Times New Roman" w:asciiTheme="minorEastAsia" w:hAnsiTheme="minorEastAsia"/>
                      <w:b/>
                      <w:bCs w:val="0"/>
                      <w:color w:val="000000" w:themeColor="text1"/>
                      <w:szCs w:val="21"/>
                    </w:rPr>
                  </w:pPr>
                  <w:r>
                    <w:rPr>
                      <w:rFonts w:cs="Times New Roman" w:asciiTheme="minorEastAsia" w:hAnsiTheme="minorEastAsia"/>
                      <w:b w:val="0"/>
                      <w:bCs/>
                      <w:color w:val="000000" w:themeColor="text1"/>
                      <w:szCs w:val="21"/>
                    </w:rPr>
                    <w:t>1</w:t>
                  </w:r>
                </w:p>
              </w:tc>
              <w:tc>
                <w:tcPr>
                  <w:tcW w:w="4252" w:type="dxa"/>
                  <w:tcBorders>
                    <w:right w:val="nil"/>
                  </w:tcBorders>
                  <w:shd w:val="clear" w:color="auto" w:fill="BFBFBF" w:themeFill="text1" w:themeFillTint="3F"/>
                  <w:vAlign w:val="center"/>
                </w:tcPr>
                <w:p>
                  <w:pPr>
                    <w:rPr>
                      <w:rFonts w:asciiTheme="minorEastAsia" w:hAnsiTheme="minorEastAsia"/>
                      <w:color w:val="000000" w:themeColor="text1"/>
                      <w:szCs w:val="21"/>
                    </w:rPr>
                  </w:pPr>
                  <w:r>
                    <w:rPr>
                      <w:rFonts w:hint="eastAsia" w:asciiTheme="minorEastAsia" w:hAnsiTheme="minorEastAsia"/>
                      <w:color w:val="000000" w:themeColor="text1"/>
                      <w:szCs w:val="21"/>
                    </w:rPr>
                    <w:t>泰信基金管理有限公司</w:t>
                  </w:r>
                </w:p>
              </w:tc>
              <w:tc>
                <w:tcPr>
                  <w:tcW w:w="2259" w:type="dxa"/>
                  <w:tcBorders>
                    <w:right w:val="nil"/>
                  </w:tcBorders>
                  <w:shd w:val="clear" w:color="auto" w:fill="BFBFBF" w:themeFill="text1" w:themeFillTint="3F"/>
                  <w:vAlign w:val="center"/>
                </w:tcPr>
                <w:p>
                  <w:pPr>
                    <w:jc w:val="center"/>
                    <w:rPr>
                      <w:rFonts w:asciiTheme="minorEastAsia" w:hAnsiTheme="minorEastAsia"/>
                      <w:color w:val="000000" w:themeColor="text1"/>
                      <w:szCs w:val="21"/>
                    </w:rPr>
                  </w:pPr>
                  <w:r>
                    <w:rPr>
                      <w:rFonts w:hint="eastAsia" w:asciiTheme="minorEastAsia" w:hAnsiTheme="minorEastAsia"/>
                      <w:color w:val="000000" w:themeColor="text1"/>
                      <w:szCs w:val="21"/>
                    </w:rPr>
                    <w:t>徐慕浩</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78" w:type="dxa"/>
                  <w:vAlign w:val="center"/>
                </w:tcPr>
                <w:p>
                  <w:pPr>
                    <w:jc w:val="center"/>
                    <w:rPr>
                      <w:rFonts w:cs="Times New Roman" w:asciiTheme="minorEastAsia" w:hAnsiTheme="minorEastAsia"/>
                      <w:b/>
                      <w:bCs w:val="0"/>
                      <w:color w:val="000000" w:themeColor="text1"/>
                      <w:szCs w:val="21"/>
                    </w:rPr>
                  </w:pPr>
                  <w:r>
                    <w:rPr>
                      <w:rFonts w:hint="eastAsia" w:cs="Times New Roman" w:asciiTheme="minorEastAsia" w:hAnsiTheme="minorEastAsia"/>
                      <w:b w:val="0"/>
                      <w:bCs/>
                      <w:color w:val="000000" w:themeColor="text1"/>
                      <w:szCs w:val="21"/>
                    </w:rPr>
                    <w:t>2</w:t>
                  </w:r>
                </w:p>
              </w:tc>
              <w:tc>
                <w:tcPr>
                  <w:tcW w:w="4252" w:type="dxa"/>
                  <w:vAlign w:val="center"/>
                </w:tcPr>
                <w:p>
                  <w:pPr>
                    <w:rPr>
                      <w:rFonts w:asciiTheme="minorEastAsia" w:hAnsiTheme="minorEastAsia"/>
                      <w:color w:val="000000" w:themeColor="text1"/>
                      <w:szCs w:val="21"/>
                    </w:rPr>
                  </w:pPr>
                  <w:r>
                    <w:rPr>
                      <w:rFonts w:hint="eastAsia" w:asciiTheme="minorEastAsia" w:hAnsiTheme="minorEastAsia"/>
                      <w:color w:val="000000" w:themeColor="text1"/>
                      <w:szCs w:val="21"/>
                    </w:rPr>
                    <w:t>凯丰投资管理有限公司</w:t>
                  </w:r>
                </w:p>
              </w:tc>
              <w:tc>
                <w:tcPr>
                  <w:tcW w:w="2259" w:type="dxa"/>
                  <w:vAlign w:val="center"/>
                </w:tcPr>
                <w:p>
                  <w:pPr>
                    <w:jc w:val="center"/>
                    <w:rPr>
                      <w:rFonts w:asciiTheme="minorEastAsia" w:hAnsiTheme="minorEastAsia"/>
                      <w:color w:val="000000" w:themeColor="text1"/>
                      <w:szCs w:val="21"/>
                    </w:rPr>
                  </w:pPr>
                  <w:r>
                    <w:rPr>
                      <w:rFonts w:hint="eastAsia" w:asciiTheme="minorEastAsia" w:hAnsiTheme="minorEastAsia"/>
                      <w:color w:val="000000" w:themeColor="text1"/>
                      <w:szCs w:val="21"/>
                    </w:rPr>
                    <w:t>楼燚俊</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78" w:type="dxa"/>
                  <w:tcBorders>
                    <w:left w:val="nil"/>
                    <w:right w:val="nil"/>
                  </w:tcBorders>
                  <w:shd w:val="clear" w:color="auto" w:fill="BFBFBF" w:themeFill="text1" w:themeFillTint="3F"/>
                  <w:vAlign w:val="center"/>
                </w:tcPr>
                <w:p>
                  <w:pPr>
                    <w:jc w:val="center"/>
                    <w:rPr>
                      <w:rFonts w:cs="Times New Roman" w:asciiTheme="minorEastAsia" w:hAnsiTheme="minorEastAsia"/>
                      <w:b/>
                      <w:bCs w:val="0"/>
                      <w:color w:val="000000" w:themeColor="text1"/>
                      <w:szCs w:val="21"/>
                    </w:rPr>
                  </w:pPr>
                  <w:r>
                    <w:rPr>
                      <w:rFonts w:hint="eastAsia" w:cs="Times New Roman" w:asciiTheme="minorEastAsia" w:hAnsiTheme="minorEastAsia"/>
                      <w:b w:val="0"/>
                      <w:bCs/>
                      <w:color w:val="000000" w:themeColor="text1"/>
                      <w:szCs w:val="21"/>
                    </w:rPr>
                    <w:t>3</w:t>
                  </w:r>
                </w:p>
              </w:tc>
              <w:tc>
                <w:tcPr>
                  <w:tcW w:w="4252" w:type="dxa"/>
                  <w:tcBorders>
                    <w:right w:val="nil"/>
                  </w:tcBorders>
                  <w:shd w:val="clear" w:color="auto" w:fill="BFBFBF" w:themeFill="text1" w:themeFillTint="3F"/>
                  <w:vAlign w:val="center"/>
                </w:tcPr>
                <w:p>
                  <w:pPr>
                    <w:rPr>
                      <w:rFonts w:asciiTheme="minorEastAsia" w:hAnsiTheme="minorEastAsia"/>
                      <w:color w:val="000000" w:themeColor="text1"/>
                      <w:szCs w:val="21"/>
                    </w:rPr>
                  </w:pPr>
                  <w:r>
                    <w:rPr>
                      <w:rFonts w:hint="eastAsia" w:asciiTheme="minorEastAsia" w:hAnsiTheme="minorEastAsia"/>
                      <w:color w:val="000000" w:themeColor="text1"/>
                      <w:szCs w:val="21"/>
                    </w:rPr>
                    <w:t>长城证券股份有限公司</w:t>
                  </w:r>
                </w:p>
              </w:tc>
              <w:tc>
                <w:tcPr>
                  <w:tcW w:w="2259" w:type="dxa"/>
                  <w:tcBorders>
                    <w:right w:val="nil"/>
                  </w:tcBorders>
                  <w:shd w:val="clear" w:color="auto" w:fill="BFBFBF" w:themeFill="text1" w:themeFillTint="3F"/>
                  <w:vAlign w:val="center"/>
                </w:tcPr>
                <w:p>
                  <w:pPr>
                    <w:jc w:val="center"/>
                    <w:rPr>
                      <w:rFonts w:asciiTheme="minorEastAsia" w:hAnsiTheme="minorEastAsia"/>
                      <w:color w:val="000000" w:themeColor="text1"/>
                      <w:szCs w:val="21"/>
                    </w:rPr>
                  </w:pPr>
                  <w:r>
                    <w:rPr>
                      <w:rFonts w:hint="eastAsia" w:asciiTheme="minorEastAsia" w:hAnsiTheme="minorEastAsia"/>
                      <w:color w:val="000000" w:themeColor="text1"/>
                      <w:szCs w:val="21"/>
                    </w:rPr>
                    <w:t>王岭峰</w:t>
                  </w:r>
                </w:p>
              </w:tc>
            </w:tr>
          </w:tbl>
          <w:p>
            <w:pPr>
              <w:jc w:val="left"/>
              <w:rPr>
                <w:szCs w:val="21"/>
              </w:rPr>
            </w:pPr>
            <w:r>
              <w:rPr>
                <w:rFonts w:hint="eastAsia"/>
                <w:szCs w:val="21"/>
              </w:rPr>
              <w:t>按照要求，已签署了承诺书。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772" w:type="dxa"/>
            <w:vAlign w:val="center"/>
          </w:tcPr>
          <w:p>
            <w:pPr>
              <w:jc w:val="center"/>
              <w:rPr>
                <w:b/>
              </w:rPr>
            </w:pPr>
            <w:r>
              <w:rPr>
                <w:rFonts w:hint="eastAsia"/>
                <w:b/>
              </w:rPr>
              <w:t>时间</w:t>
            </w:r>
          </w:p>
        </w:tc>
        <w:tc>
          <w:tcPr>
            <w:tcW w:w="8080" w:type="dxa"/>
            <w:vAlign w:val="center"/>
          </w:tcPr>
          <w:p>
            <w:pPr>
              <w:rPr>
                <w:rFonts w:ascii="宋体" w:hAnsi="宋体" w:eastAsia="宋体"/>
              </w:rPr>
            </w:pPr>
            <w:r>
              <w:rPr>
                <w:rFonts w:ascii="宋体" w:hAnsi="宋体" w:eastAsia="宋体"/>
              </w:rPr>
              <w:t>202</w:t>
            </w:r>
            <w:r>
              <w:rPr>
                <w:rFonts w:hint="eastAsia" w:ascii="宋体" w:hAnsi="宋体" w:eastAsia="宋体"/>
              </w:rPr>
              <w:t xml:space="preserve">1年1月20日 </w:t>
            </w:r>
            <w:r>
              <w:rPr>
                <w:rFonts w:ascii="宋体" w:hAnsi="宋体" w:eastAsia="宋体"/>
              </w:rPr>
              <w:t>1</w:t>
            </w:r>
            <w:r>
              <w:rPr>
                <w:rFonts w:hint="eastAsia" w:ascii="宋体" w:hAnsi="宋体" w:eastAsia="宋体"/>
              </w:rPr>
              <w:t>5:</w:t>
            </w:r>
            <w:r>
              <w:rPr>
                <w:rFonts w:ascii="宋体" w:hAnsi="宋体" w:eastAsia="宋体"/>
              </w:rPr>
              <w:t>0</w:t>
            </w:r>
            <w:r>
              <w:rPr>
                <w:rFonts w:hint="eastAsia" w:ascii="宋体" w:hAnsi="宋体" w:eastAsia="宋体"/>
              </w:rPr>
              <w:t>0</w:t>
            </w:r>
            <w:r>
              <w:rPr>
                <w:rFonts w:ascii="宋体" w:hAnsi="宋体" w:eastAsia="宋体"/>
              </w:rPr>
              <w:t>-1</w:t>
            </w:r>
            <w:r>
              <w:rPr>
                <w:rFonts w:hint="eastAsia" w:ascii="宋体" w:hAnsi="宋体" w:eastAsia="宋体"/>
              </w:rPr>
              <w:t>7:</w:t>
            </w:r>
            <w:r>
              <w:rPr>
                <w:rFonts w:ascii="宋体" w:hAnsi="宋体" w:eastAsia="宋体"/>
              </w:rPr>
              <w:t>0</w:t>
            </w:r>
            <w:r>
              <w:rPr>
                <w:rFonts w:hint="eastAsia" w:ascii="宋体" w:hAnsi="宋体" w:eastAsia="宋体"/>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1772" w:type="dxa"/>
            <w:vAlign w:val="center"/>
          </w:tcPr>
          <w:p>
            <w:pPr>
              <w:jc w:val="center"/>
              <w:rPr>
                <w:b/>
              </w:rPr>
            </w:pPr>
            <w:r>
              <w:rPr>
                <w:rFonts w:hint="eastAsia"/>
                <w:b/>
              </w:rPr>
              <w:t>地点</w:t>
            </w:r>
          </w:p>
        </w:tc>
        <w:tc>
          <w:tcPr>
            <w:tcW w:w="8080" w:type="dxa"/>
            <w:vAlign w:val="center"/>
          </w:tcPr>
          <w:p>
            <w:r>
              <w:rPr>
                <w:rFonts w:hint="eastAsia" w:ascii="宋体" w:hAnsi="宋体" w:eastAsia="宋体"/>
              </w:rPr>
              <w:t>集团总部五</w:t>
            </w:r>
            <w:r>
              <w:rPr>
                <w:rFonts w:ascii="宋体" w:hAnsi="宋体" w:eastAsia="宋体"/>
              </w:rPr>
              <w:t>楼</w:t>
            </w:r>
            <w:r>
              <w:rPr>
                <w:rFonts w:hint="eastAsia" w:ascii="宋体" w:hAnsi="宋体" w:eastAsia="宋体"/>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772" w:type="dxa"/>
            <w:vAlign w:val="center"/>
          </w:tcPr>
          <w:p>
            <w:pPr>
              <w:jc w:val="center"/>
              <w:rPr>
                <w:b/>
              </w:rPr>
            </w:pPr>
            <w:r>
              <w:rPr>
                <w:rFonts w:hint="eastAsia"/>
                <w:b/>
              </w:rPr>
              <w:t>上市公司</w:t>
            </w:r>
          </w:p>
          <w:p>
            <w:pPr>
              <w:jc w:val="center"/>
              <w:rPr>
                <w:b/>
              </w:rPr>
            </w:pPr>
            <w:r>
              <w:rPr>
                <w:rFonts w:hint="eastAsia"/>
                <w:b/>
              </w:rPr>
              <w:t>接待人员姓名</w:t>
            </w:r>
          </w:p>
        </w:tc>
        <w:tc>
          <w:tcPr>
            <w:tcW w:w="8080" w:type="dxa"/>
            <w:vAlign w:val="center"/>
          </w:tcPr>
          <w:p>
            <w:r>
              <w:rPr>
                <w:rFonts w:hint="eastAsia"/>
              </w:rPr>
              <w:t>张志刚、唐浩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772" w:type="dxa"/>
            <w:vAlign w:val="center"/>
          </w:tcPr>
          <w:p>
            <w:pPr>
              <w:jc w:val="center"/>
              <w:rPr>
                <w:b/>
              </w:rPr>
            </w:pPr>
            <w:r>
              <w:rPr>
                <w:rFonts w:hint="eastAsia"/>
                <w:b/>
              </w:rPr>
              <w:t>投资者关系活动主要内容介绍</w:t>
            </w:r>
          </w:p>
        </w:tc>
        <w:tc>
          <w:tcPr>
            <w:tcW w:w="8080" w:type="dxa"/>
          </w:tcPr>
          <w:p>
            <w:pPr>
              <w:numPr>
                <w:ilvl w:val="0"/>
                <w:numId w:val="1"/>
              </w:numPr>
              <w:spacing w:line="360" w:lineRule="auto"/>
              <w:jc w:val="left"/>
              <w:rPr>
                <w:rFonts w:asciiTheme="minorEastAsia" w:hAnsiTheme="minorEastAsia"/>
                <w:b/>
                <w:szCs w:val="21"/>
              </w:rPr>
            </w:pPr>
            <w:r>
              <w:rPr>
                <w:rFonts w:hint="eastAsia" w:asciiTheme="minorEastAsia" w:hAnsiTheme="minorEastAsia"/>
                <w:b/>
                <w:szCs w:val="21"/>
              </w:rPr>
              <w:t>公司</w:t>
            </w:r>
            <w:r>
              <w:rPr>
                <w:rFonts w:asciiTheme="minorEastAsia" w:hAnsiTheme="minorEastAsia"/>
                <w:b/>
                <w:szCs w:val="21"/>
              </w:rPr>
              <w:t>基本情况介绍</w:t>
            </w:r>
          </w:p>
          <w:p>
            <w:pPr>
              <w:spacing w:line="360" w:lineRule="auto"/>
              <w:jc w:val="left"/>
              <w:rPr>
                <w:rFonts w:asciiTheme="minorEastAsia" w:hAnsiTheme="minorEastAsia"/>
                <w:b/>
                <w:szCs w:val="21"/>
              </w:rPr>
            </w:pPr>
            <w:r>
              <w:rPr>
                <w:rFonts w:hint="eastAsia" w:asciiTheme="minorEastAsia" w:hAnsiTheme="minorEastAsia"/>
                <w:b/>
                <w:szCs w:val="21"/>
              </w:rPr>
              <w:t>二</w:t>
            </w:r>
            <w:r>
              <w:rPr>
                <w:rFonts w:asciiTheme="minorEastAsia" w:hAnsiTheme="minorEastAsia"/>
                <w:b/>
                <w:szCs w:val="21"/>
              </w:rPr>
              <w:t>、</w:t>
            </w:r>
            <w:r>
              <w:rPr>
                <w:rFonts w:hint="eastAsia" w:asciiTheme="minorEastAsia" w:hAnsiTheme="minorEastAsia"/>
                <w:b/>
                <w:szCs w:val="21"/>
              </w:rPr>
              <w:t>互动交流摘要</w:t>
            </w:r>
          </w:p>
          <w:p>
            <w:pPr>
              <w:spacing w:line="360" w:lineRule="auto"/>
              <w:rPr>
                <w:rFonts w:asciiTheme="minorEastAsia" w:hAnsiTheme="minorEastAsia"/>
                <w:szCs w:val="21"/>
              </w:rPr>
            </w:pPr>
            <w:r>
              <w:rPr>
                <w:rFonts w:asciiTheme="minorEastAsia" w:hAnsiTheme="minorEastAsia"/>
                <w:b/>
                <w:szCs w:val="21"/>
              </w:rPr>
              <w:t>1</w:t>
            </w:r>
            <w:r>
              <w:rPr>
                <w:rFonts w:hint="eastAsia" w:asciiTheme="minorEastAsia" w:hAnsiTheme="minorEastAsia"/>
                <w:b/>
                <w:szCs w:val="21"/>
              </w:rPr>
              <w:t>、公司销售钻完井设备的客户主要有哪些？</w:t>
            </w:r>
          </w:p>
          <w:p>
            <w:pPr>
              <w:spacing w:line="360" w:lineRule="auto"/>
              <w:rPr>
                <w:rFonts w:asciiTheme="minorEastAsia" w:hAnsiTheme="minorEastAsia"/>
                <w:szCs w:val="21"/>
              </w:rPr>
            </w:pPr>
            <w:r>
              <w:rPr>
                <w:rFonts w:hint="eastAsia" w:asciiTheme="minorEastAsia" w:hAnsiTheme="minorEastAsia"/>
                <w:b/>
                <w:szCs w:val="21"/>
              </w:rPr>
              <w:t>答</w:t>
            </w:r>
            <w:r>
              <w:rPr>
                <w:rFonts w:asciiTheme="minorEastAsia" w:hAnsiTheme="minorEastAsia"/>
                <w:b/>
                <w:szCs w:val="21"/>
              </w:rPr>
              <w:t>：</w:t>
            </w:r>
            <w:r>
              <w:rPr>
                <w:rFonts w:hint="eastAsia" w:asciiTheme="minorEastAsia" w:hAnsiTheme="minorEastAsia"/>
                <w:szCs w:val="21"/>
              </w:rPr>
              <w:t>在国内，公司的钻完井设备的客户有中石油、中石化、中海油及其下属子公司等国有企业，也有民营的油服公司等，其中，中石油</w:t>
            </w:r>
            <w:r>
              <w:rPr>
                <w:rFonts w:hint="eastAsia" w:asciiTheme="minorEastAsia" w:hAnsiTheme="minorEastAsia"/>
                <w:szCs w:val="21"/>
                <w:lang w:eastAsia="zh-CN"/>
              </w:rPr>
              <w:t>及其下属子公司</w:t>
            </w:r>
            <w:r>
              <w:rPr>
                <w:rFonts w:hint="eastAsia" w:asciiTheme="minorEastAsia" w:hAnsiTheme="minorEastAsia"/>
                <w:szCs w:val="21"/>
              </w:rPr>
              <w:t>占比最大；在海外，公司的钻完井设备的客户主要包括国有油公司及其子公司、国际油服公司等。</w:t>
            </w:r>
          </w:p>
          <w:p>
            <w:pPr>
              <w:spacing w:line="360" w:lineRule="auto"/>
              <w:rPr>
                <w:rFonts w:hint="eastAsia" w:asciiTheme="minorEastAsia" w:hAnsiTheme="minorEastAsia"/>
                <w:szCs w:val="21"/>
              </w:rPr>
            </w:pPr>
          </w:p>
          <w:p>
            <w:pPr>
              <w:spacing w:line="360" w:lineRule="auto"/>
              <w:rPr>
                <w:rFonts w:asciiTheme="minorEastAsia" w:hAnsiTheme="minorEastAsia"/>
                <w:b/>
                <w:szCs w:val="21"/>
              </w:rPr>
            </w:pPr>
            <w:r>
              <w:rPr>
                <w:rFonts w:hint="eastAsia" w:asciiTheme="minorEastAsia" w:hAnsiTheme="minorEastAsia"/>
                <w:b/>
                <w:szCs w:val="21"/>
              </w:rPr>
              <w:t>2、</w:t>
            </w:r>
            <w:r>
              <w:rPr>
                <w:rFonts w:asciiTheme="minorEastAsia" w:hAnsiTheme="minorEastAsia"/>
                <w:b/>
                <w:szCs w:val="21"/>
              </w:rPr>
              <w:t>公司</w:t>
            </w:r>
            <w:r>
              <w:rPr>
                <w:rFonts w:hint="eastAsia" w:asciiTheme="minorEastAsia" w:hAnsiTheme="minorEastAsia"/>
                <w:b/>
                <w:szCs w:val="21"/>
              </w:rPr>
              <w:t>的电驱压裂设备的目前情况</w:t>
            </w:r>
            <w:r>
              <w:rPr>
                <w:rFonts w:asciiTheme="minorEastAsia" w:hAnsiTheme="minorEastAsia"/>
                <w:b/>
                <w:szCs w:val="21"/>
              </w:rPr>
              <w:t>？</w:t>
            </w:r>
          </w:p>
          <w:p>
            <w:pPr>
              <w:spacing w:line="360" w:lineRule="auto"/>
              <w:rPr>
                <w:rFonts w:asciiTheme="minorEastAsia" w:hAnsiTheme="minorEastAsia"/>
                <w:szCs w:val="21"/>
              </w:rPr>
            </w:pPr>
            <w:r>
              <w:rPr>
                <w:rFonts w:hint="eastAsia" w:asciiTheme="minorEastAsia" w:hAnsiTheme="minorEastAsia"/>
                <w:b/>
                <w:szCs w:val="21"/>
              </w:rPr>
              <w:t>答</w:t>
            </w:r>
            <w:r>
              <w:rPr>
                <w:rFonts w:asciiTheme="minorEastAsia" w:hAnsiTheme="minorEastAsia"/>
                <w:b/>
                <w:szCs w:val="21"/>
              </w:rPr>
              <w:t>：</w:t>
            </w:r>
            <w:r>
              <w:rPr>
                <w:rFonts w:hint="eastAsia" w:asciiTheme="minorEastAsia" w:hAnsiTheme="minorEastAsia"/>
                <w:szCs w:val="21"/>
              </w:rPr>
              <w:t>公司于2019年4月发布电驱压裂成套装备及页岩气开发解决方案，5月参加美国OTC展会，推出10000型电驱压裂半挂车、双千型酸化压裂半挂车以及电驱压裂成套装备解决方案。2020年，公司自主研发制造的10000型电驱压裂设备、5000型电驱压裂撬及多台传统柴驱压裂车应用于中国页岩油重点项目中，助力客户实现渤海湾地区单套压裂机组单日压裂段数最多、注入液量最多、单平台大通径远程液控管汇连接施工井三项记录。2021年初，电驱压裂设备首次进入中石油采购目录，公司的电驱压裂设备也有中标。</w:t>
            </w:r>
          </w:p>
          <w:p>
            <w:pPr>
              <w:spacing w:line="360" w:lineRule="auto"/>
              <w:rPr>
                <w:rFonts w:hint="eastAsia" w:asciiTheme="minorEastAsia" w:hAnsiTheme="minorEastAsia"/>
                <w:szCs w:val="21"/>
              </w:rPr>
            </w:pPr>
          </w:p>
          <w:p>
            <w:pPr>
              <w:spacing w:line="360" w:lineRule="auto"/>
              <w:rPr>
                <w:rFonts w:asciiTheme="minorEastAsia" w:hAnsiTheme="minorEastAsia"/>
                <w:b/>
                <w:szCs w:val="21"/>
              </w:rPr>
            </w:pPr>
            <w:r>
              <w:rPr>
                <w:rFonts w:asciiTheme="minorEastAsia" w:hAnsiTheme="minorEastAsia"/>
                <w:b/>
                <w:szCs w:val="21"/>
              </w:rPr>
              <w:t>3</w:t>
            </w:r>
            <w:r>
              <w:rPr>
                <w:rFonts w:hint="eastAsia" w:asciiTheme="minorEastAsia" w:hAnsiTheme="minorEastAsia"/>
                <w:b/>
                <w:szCs w:val="21"/>
              </w:rPr>
              <w:t>、公司的维修改造和贸易配件</w:t>
            </w:r>
            <w:r>
              <w:rPr>
                <w:rFonts w:hint="eastAsia" w:asciiTheme="minorEastAsia" w:hAnsiTheme="minorEastAsia"/>
                <w:b/>
                <w:szCs w:val="21"/>
                <w:lang w:eastAsia="zh-CN"/>
              </w:rPr>
              <w:t>业务</w:t>
            </w:r>
            <w:r>
              <w:rPr>
                <w:rFonts w:hint="eastAsia" w:asciiTheme="minorEastAsia" w:hAnsiTheme="minorEastAsia"/>
                <w:b/>
                <w:szCs w:val="21"/>
              </w:rPr>
              <w:t>的情况？</w:t>
            </w:r>
          </w:p>
          <w:p>
            <w:pPr>
              <w:spacing w:line="360" w:lineRule="auto"/>
              <w:rPr>
                <w:rFonts w:asciiTheme="minorEastAsia" w:hAnsiTheme="minorEastAsia"/>
                <w:szCs w:val="21"/>
              </w:rPr>
            </w:pPr>
            <w:r>
              <w:rPr>
                <w:rFonts w:hint="eastAsia" w:asciiTheme="minorEastAsia" w:hAnsiTheme="minorEastAsia"/>
                <w:b/>
                <w:szCs w:val="21"/>
              </w:rPr>
              <w:t>答：</w:t>
            </w:r>
            <w:bookmarkStart w:id="0" w:name="_GoBack"/>
            <w:bookmarkEnd w:id="0"/>
            <w:r>
              <w:rPr>
                <w:rFonts w:hint="eastAsia" w:asciiTheme="minorEastAsia" w:hAnsiTheme="minorEastAsia"/>
                <w:szCs w:val="21"/>
              </w:rPr>
              <w:t>维修改造和贸易配件</w:t>
            </w:r>
            <w:r>
              <w:rPr>
                <w:rFonts w:hint="eastAsia" w:asciiTheme="minorEastAsia" w:hAnsiTheme="minorEastAsia"/>
                <w:szCs w:val="21"/>
                <w:lang w:eastAsia="zh-CN"/>
              </w:rPr>
              <w:t>业务是公司的成熟产品线，</w:t>
            </w:r>
            <w:r>
              <w:rPr>
                <w:rFonts w:hint="eastAsia" w:asciiTheme="minorEastAsia" w:hAnsiTheme="minorEastAsia"/>
                <w:szCs w:val="21"/>
              </w:rPr>
              <w:t>销售额</w:t>
            </w:r>
            <w:r>
              <w:rPr>
                <w:rFonts w:hint="eastAsia" w:asciiTheme="minorEastAsia" w:hAnsiTheme="minorEastAsia"/>
                <w:szCs w:val="21"/>
                <w:lang w:eastAsia="zh-CN"/>
              </w:rPr>
              <w:t>每年有不同幅度的</w:t>
            </w:r>
            <w:r>
              <w:rPr>
                <w:rFonts w:hint="eastAsia" w:asciiTheme="minorEastAsia" w:hAnsiTheme="minorEastAsia"/>
                <w:szCs w:val="21"/>
              </w:rPr>
              <w:t>增长</w:t>
            </w:r>
            <w:r>
              <w:rPr>
                <w:rFonts w:hint="eastAsia" w:asciiTheme="minorEastAsia" w:hAnsiTheme="minorEastAsia"/>
                <w:szCs w:val="21"/>
                <w:lang w:eastAsia="zh-CN"/>
              </w:rPr>
              <w:t>。</w:t>
            </w:r>
            <w:r>
              <w:rPr>
                <w:rFonts w:hint="eastAsia" w:asciiTheme="minorEastAsia" w:hAnsiTheme="minorEastAsia"/>
                <w:szCs w:val="21"/>
              </w:rPr>
              <w:t>销售情况受油价波动的影响较小</w:t>
            </w:r>
            <w:r>
              <w:rPr>
                <w:rFonts w:hint="eastAsia" w:asciiTheme="minorEastAsia" w:hAnsiTheme="minorEastAsia"/>
                <w:szCs w:val="21"/>
                <w:lang w:eastAsia="zh-CN"/>
              </w:rPr>
              <w:t>，</w:t>
            </w:r>
            <w:r>
              <w:rPr>
                <w:rFonts w:hint="eastAsia" w:asciiTheme="minorEastAsia" w:hAnsiTheme="minorEastAsia"/>
                <w:szCs w:val="21"/>
              </w:rPr>
              <w:t>在行业较差的情况</w:t>
            </w:r>
            <w:r>
              <w:rPr>
                <w:rFonts w:hint="eastAsia" w:asciiTheme="minorEastAsia" w:hAnsiTheme="minorEastAsia"/>
                <w:szCs w:val="21"/>
                <w:lang w:eastAsia="zh-CN"/>
              </w:rPr>
              <w:t>保持稳定</w:t>
            </w:r>
            <w:r>
              <w:rPr>
                <w:rFonts w:hint="eastAsia" w:asciiTheme="minorEastAsia" w:hAnsiTheme="minorEastAsia"/>
                <w:szCs w:val="21"/>
              </w:rPr>
              <w:t>，在行业景气时</w:t>
            </w:r>
            <w:r>
              <w:rPr>
                <w:rFonts w:hint="eastAsia" w:asciiTheme="minorEastAsia" w:hAnsiTheme="minorEastAsia"/>
                <w:szCs w:val="21"/>
                <w:lang w:eastAsia="zh-CN"/>
              </w:rPr>
              <w:t>能实现比较好的增长</w:t>
            </w:r>
            <w:r>
              <w:rPr>
                <w:rFonts w:hint="eastAsia" w:asciiTheme="minorEastAsia" w:hAnsiTheme="minorEastAsia"/>
                <w:szCs w:val="21"/>
              </w:rPr>
              <w:t>。维修改造和贸易配件</w:t>
            </w:r>
            <w:r>
              <w:rPr>
                <w:rFonts w:hint="eastAsia" w:asciiTheme="minorEastAsia" w:hAnsiTheme="minorEastAsia"/>
                <w:szCs w:val="21"/>
                <w:lang w:eastAsia="zh-CN"/>
              </w:rPr>
              <w:t>主要业务</w:t>
            </w:r>
            <w:r>
              <w:rPr>
                <w:rFonts w:hint="eastAsia" w:asciiTheme="minorEastAsia" w:hAnsiTheme="minorEastAsia"/>
                <w:szCs w:val="21"/>
              </w:rPr>
              <w:t>在国内。</w:t>
            </w:r>
          </w:p>
          <w:p>
            <w:pPr>
              <w:spacing w:line="360" w:lineRule="auto"/>
              <w:rPr>
                <w:rFonts w:hint="eastAsia" w:asciiTheme="minorEastAsia" w:hAnsiTheme="minorEastAsia"/>
                <w:szCs w:val="21"/>
              </w:rPr>
            </w:pPr>
          </w:p>
          <w:p>
            <w:pPr>
              <w:spacing w:line="360" w:lineRule="auto"/>
              <w:rPr>
                <w:rFonts w:asciiTheme="minorEastAsia" w:hAnsiTheme="minorEastAsia"/>
                <w:b/>
                <w:szCs w:val="21"/>
              </w:rPr>
            </w:pPr>
            <w:r>
              <w:rPr>
                <w:rFonts w:hint="eastAsia" w:asciiTheme="minorEastAsia" w:hAnsiTheme="minorEastAsia"/>
                <w:b/>
                <w:szCs w:val="21"/>
                <w:lang w:val="en-US" w:eastAsia="zh-CN"/>
              </w:rPr>
              <w:t>4、</w:t>
            </w:r>
            <w:r>
              <w:rPr>
                <w:rFonts w:asciiTheme="minorEastAsia" w:hAnsiTheme="minorEastAsia"/>
                <w:b/>
                <w:szCs w:val="21"/>
              </w:rPr>
              <w:t>公司</w:t>
            </w:r>
            <w:r>
              <w:rPr>
                <w:rFonts w:hint="eastAsia" w:asciiTheme="minorEastAsia" w:hAnsiTheme="minorEastAsia"/>
                <w:b/>
                <w:szCs w:val="21"/>
              </w:rPr>
              <w:t>研发的电驱压裂设备与传统柴驱设备相比的优势主要体现在哪些方面</w:t>
            </w:r>
            <w:r>
              <w:rPr>
                <w:rFonts w:asciiTheme="minorEastAsia" w:hAnsiTheme="minorEastAsia"/>
                <w:b/>
                <w:szCs w:val="21"/>
              </w:rPr>
              <w:t>？</w:t>
            </w:r>
          </w:p>
          <w:p>
            <w:pPr>
              <w:spacing w:line="360" w:lineRule="auto"/>
              <w:rPr>
                <w:rFonts w:hint="eastAsia" w:asciiTheme="minorEastAsia" w:hAnsiTheme="minorEastAsia"/>
                <w:b w:val="0"/>
                <w:bCs/>
                <w:szCs w:val="21"/>
              </w:rPr>
            </w:pPr>
            <w:r>
              <w:rPr>
                <w:rFonts w:hint="eastAsia" w:asciiTheme="minorEastAsia" w:hAnsiTheme="minorEastAsia"/>
                <w:b/>
                <w:szCs w:val="21"/>
              </w:rPr>
              <w:t>答：</w:t>
            </w:r>
            <w:r>
              <w:rPr>
                <w:rFonts w:hint="eastAsia" w:asciiTheme="minorEastAsia" w:hAnsiTheme="minorEastAsia"/>
                <w:b w:val="0"/>
                <w:bCs/>
                <w:szCs w:val="21"/>
              </w:rPr>
              <w:t>电驱压裂成套设备与传统柴油驱动压裂设备相比能够实现降低成本、提高效率、更加环保、保障安全的目标。成套电驱压裂设备性能显著提升，设备维保费用降低，设备占地面积大幅缩减，燃料费用大幅降低，减少作业噪音能够</w:t>
            </w:r>
            <w:r>
              <w:rPr>
                <w:rFonts w:hint="eastAsia" w:asciiTheme="minorEastAsia" w:hAnsiTheme="minorEastAsia"/>
                <w:b w:val="0"/>
                <w:bCs/>
                <w:szCs w:val="21"/>
                <w:lang w:eastAsia="zh-CN"/>
              </w:rPr>
              <w:t>延长</w:t>
            </w:r>
            <w:r>
              <w:rPr>
                <w:rFonts w:hint="eastAsia" w:asciiTheme="minorEastAsia" w:hAnsiTheme="minorEastAsia"/>
                <w:b w:val="0"/>
                <w:bCs/>
                <w:szCs w:val="21"/>
              </w:rPr>
              <w:t>作业</w:t>
            </w:r>
            <w:r>
              <w:rPr>
                <w:rFonts w:hint="eastAsia" w:asciiTheme="minorEastAsia" w:hAnsiTheme="minorEastAsia"/>
                <w:b w:val="0"/>
                <w:bCs/>
                <w:szCs w:val="21"/>
                <w:lang w:eastAsia="zh-CN"/>
              </w:rPr>
              <w:t>时间</w:t>
            </w:r>
            <w:r>
              <w:rPr>
                <w:rFonts w:hint="eastAsia" w:asciiTheme="minorEastAsia" w:hAnsiTheme="minorEastAsia"/>
                <w:b w:val="0"/>
                <w:bCs/>
                <w:szCs w:val="21"/>
              </w:rPr>
              <w:t>，无多环芳烃排放更环保。</w:t>
            </w:r>
          </w:p>
          <w:p>
            <w:pPr>
              <w:spacing w:line="360" w:lineRule="auto"/>
              <w:rPr>
                <w:rFonts w:hint="eastAsia" w:asciiTheme="minorEastAsia" w:hAnsiTheme="minorEastAsia"/>
                <w:b w:val="0"/>
                <w:bCs/>
                <w:szCs w:val="21"/>
              </w:rPr>
            </w:pPr>
          </w:p>
          <w:p>
            <w:pPr>
              <w:spacing w:line="360" w:lineRule="auto"/>
              <w:rPr>
                <w:rFonts w:hint="eastAsia" w:asciiTheme="minorEastAsia" w:hAnsiTheme="minorEastAsia"/>
                <w:b/>
                <w:szCs w:val="21"/>
                <w:lang w:val="en-US" w:eastAsia="zh-CN"/>
              </w:rPr>
            </w:pPr>
            <w:r>
              <w:rPr>
                <w:rFonts w:hint="eastAsia" w:asciiTheme="minorEastAsia" w:hAnsiTheme="minorEastAsia"/>
                <w:b/>
                <w:szCs w:val="21"/>
                <w:lang w:val="en-US" w:eastAsia="zh-CN"/>
              </w:rPr>
              <w:t>5、公司压裂设备的使用周期是多久？</w:t>
            </w:r>
          </w:p>
          <w:p>
            <w:pPr>
              <w:spacing w:line="360" w:lineRule="auto"/>
              <w:rPr>
                <w:rFonts w:hint="eastAsia" w:asciiTheme="minorEastAsia" w:hAnsiTheme="minorEastAsia"/>
                <w:b/>
                <w:szCs w:val="21"/>
              </w:rPr>
            </w:pPr>
            <w:r>
              <w:rPr>
                <w:rFonts w:hint="eastAsia" w:asciiTheme="minorEastAsia" w:hAnsiTheme="minorEastAsia"/>
                <w:b/>
                <w:szCs w:val="21"/>
              </w:rPr>
              <w:t>答：</w:t>
            </w:r>
            <w:r>
              <w:rPr>
                <w:rFonts w:hint="eastAsia" w:asciiTheme="minorEastAsia" w:hAnsiTheme="minorEastAsia"/>
                <w:b w:val="0"/>
                <w:bCs/>
                <w:szCs w:val="21"/>
              </w:rPr>
              <w:t>压裂设备的使用年限跟作业地工况环境、使用频次、维护保养等密切相关，一般常规油气开采压裂设备整机的寿命为10年左右，非常规油气压裂设备整机寿命要短一些，其中易损件要按照作业工时、磨损状况等进行更换。</w:t>
            </w:r>
          </w:p>
          <w:p>
            <w:pPr>
              <w:spacing w:line="360" w:lineRule="auto"/>
              <w:rPr>
                <w:rFonts w:asciiTheme="minorEastAsia" w:hAnsiTheme="minorEastAsia"/>
                <w:szCs w:val="21"/>
              </w:rPr>
            </w:pPr>
          </w:p>
          <w:p>
            <w:pPr>
              <w:spacing w:line="360" w:lineRule="auto"/>
              <w:rPr>
                <w:rFonts w:asciiTheme="minorEastAsia" w:hAnsiTheme="minorEastAsia"/>
                <w:b/>
                <w:szCs w:val="21"/>
              </w:rPr>
            </w:pPr>
            <w:r>
              <w:rPr>
                <w:rFonts w:hint="eastAsia" w:asciiTheme="minorEastAsia" w:hAnsiTheme="minorEastAsia"/>
                <w:b/>
                <w:szCs w:val="21"/>
              </w:rPr>
              <w:t>三、参观</w:t>
            </w:r>
            <w:r>
              <w:rPr>
                <w:rFonts w:asciiTheme="minorEastAsia" w:hAnsiTheme="minorEastAsia"/>
                <w:b/>
                <w:szCs w:val="21"/>
              </w:rPr>
              <w:t>钻完井</w:t>
            </w:r>
            <w:r>
              <w:rPr>
                <w:rFonts w:hint="eastAsia" w:asciiTheme="minorEastAsia" w:hAnsiTheme="minorEastAsia"/>
                <w:b/>
                <w:szCs w:val="21"/>
              </w:rPr>
              <w:t>设备制造板块（杰瑞西区）</w:t>
            </w:r>
          </w:p>
          <w:p>
            <w:pPr>
              <w:spacing w:line="360" w:lineRule="auto"/>
              <w:rPr>
                <w:rFonts w:asciiTheme="minorEastAsia" w:hAnsiTheme="minorEastAsia"/>
                <w:szCs w:val="21"/>
              </w:rPr>
            </w:pPr>
            <w:r>
              <w:rPr>
                <w:rFonts w:hint="eastAsia" w:asciiTheme="minorEastAsia" w:hAnsiTheme="minorEastAsia"/>
                <w:szCs w:val="21"/>
              </w:rPr>
              <w:t>1、介绍园区的布局、产能、占地面积、地理位置、功能规划。</w:t>
            </w:r>
          </w:p>
          <w:p>
            <w:pPr>
              <w:spacing w:line="360" w:lineRule="auto"/>
              <w:rPr>
                <w:rFonts w:asciiTheme="minorEastAsia" w:hAnsiTheme="minorEastAsia"/>
                <w:szCs w:val="21"/>
              </w:rPr>
            </w:pPr>
            <w:r>
              <w:rPr>
                <w:rFonts w:hint="eastAsia" w:asciiTheme="minorEastAsia" w:hAnsiTheme="minorEastAsia"/>
                <w:szCs w:val="21"/>
              </w:rPr>
              <w:t>2、参观</w:t>
            </w:r>
            <w:r>
              <w:rPr>
                <w:rFonts w:hint="eastAsia" w:cs="Times New Roman" w:asciiTheme="minorEastAsia" w:hAnsiTheme="minorEastAsia"/>
                <w:szCs w:val="21"/>
              </w:rPr>
              <w:t>西区204车间</w:t>
            </w:r>
            <w:r>
              <w:rPr>
                <w:rFonts w:hint="eastAsia" w:asciiTheme="minorEastAsia" w:hAnsiTheme="minorEastAsia"/>
                <w:szCs w:val="21"/>
              </w:rPr>
              <w:t>。现场介绍常规压裂设备</w:t>
            </w:r>
            <w:r>
              <w:rPr>
                <w:rFonts w:asciiTheme="minorEastAsia" w:hAnsiTheme="minorEastAsia"/>
                <w:szCs w:val="21"/>
              </w:rPr>
              <w:t>、</w:t>
            </w:r>
            <w:r>
              <w:rPr>
                <w:rFonts w:hint="eastAsia" w:asciiTheme="minorEastAsia" w:hAnsiTheme="minorEastAsia"/>
                <w:szCs w:val="21"/>
              </w:rPr>
              <w:t>电驱</w:t>
            </w:r>
            <w:r>
              <w:rPr>
                <w:rFonts w:asciiTheme="minorEastAsia" w:hAnsiTheme="minorEastAsia"/>
                <w:szCs w:val="21"/>
              </w:rPr>
              <w:t>压裂设备、</w:t>
            </w:r>
            <w:r>
              <w:rPr>
                <w:rFonts w:hint="eastAsia" w:asciiTheme="minorEastAsia" w:hAnsiTheme="minorEastAsia"/>
                <w:szCs w:val="21"/>
              </w:rPr>
              <w:t>混砂设备、橇装设备，发动机、电机</w:t>
            </w:r>
            <w:r>
              <w:rPr>
                <w:rFonts w:asciiTheme="minorEastAsia" w:hAnsiTheme="minorEastAsia"/>
                <w:szCs w:val="21"/>
              </w:rPr>
              <w:t>、</w:t>
            </w:r>
            <w:r>
              <w:rPr>
                <w:rFonts w:hint="eastAsia" w:asciiTheme="minorEastAsia" w:hAnsiTheme="minorEastAsia"/>
                <w:szCs w:val="21"/>
              </w:rPr>
              <w:t>柱塞泵</w:t>
            </w:r>
            <w:r>
              <w:rPr>
                <w:rFonts w:asciiTheme="minorEastAsia" w:hAnsiTheme="minorEastAsia"/>
                <w:szCs w:val="21"/>
              </w:rPr>
              <w:t>、</w:t>
            </w:r>
            <w:r>
              <w:rPr>
                <w:rFonts w:hint="eastAsia" w:asciiTheme="minorEastAsia" w:hAnsiTheme="minorEastAsia"/>
                <w:szCs w:val="21"/>
              </w:rPr>
              <w:t>变速箱、控制箱、自动控制、电气控制、液压控制装置等部件构成、功能及有关关键部件和关键控制技术。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772" w:type="dxa"/>
            <w:vAlign w:val="center"/>
          </w:tcPr>
          <w:p>
            <w:pPr>
              <w:rPr>
                <w:b/>
              </w:rPr>
            </w:pPr>
            <w:r>
              <w:rPr>
                <w:rFonts w:hint="eastAsia"/>
                <w:b/>
              </w:rPr>
              <w:t>附件清单（如有）</w:t>
            </w:r>
          </w:p>
        </w:tc>
        <w:tc>
          <w:tcPr>
            <w:tcW w:w="8080" w:type="dxa"/>
            <w:vAlign w:val="center"/>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72" w:type="dxa"/>
            <w:vAlign w:val="center"/>
          </w:tcPr>
          <w:p>
            <w:pPr>
              <w:jc w:val="center"/>
              <w:rPr>
                <w:b/>
              </w:rPr>
            </w:pPr>
            <w:r>
              <w:rPr>
                <w:rFonts w:hint="eastAsia"/>
                <w:b/>
              </w:rPr>
              <w:t>日期</w:t>
            </w:r>
          </w:p>
        </w:tc>
        <w:tc>
          <w:tcPr>
            <w:tcW w:w="8080" w:type="dxa"/>
          </w:tcPr>
          <w:p>
            <w:pPr>
              <w:rPr>
                <w:rFonts w:asciiTheme="minorEastAsia" w:hAnsiTheme="minorEastAsia"/>
              </w:rPr>
            </w:pPr>
            <w:r>
              <w:rPr>
                <w:rFonts w:asciiTheme="minorEastAsia" w:hAnsiTheme="minorEastAsia"/>
              </w:rPr>
              <w:t>202</w:t>
            </w:r>
            <w:r>
              <w:rPr>
                <w:rFonts w:hint="eastAsia" w:asciiTheme="minorEastAsia" w:hAnsiTheme="minorEastAsia"/>
              </w:rPr>
              <w:t>1年1月20日</w:t>
            </w:r>
          </w:p>
        </w:tc>
      </w:tr>
    </w:tbl>
    <w:p>
      <w:pPr>
        <w:jc w:val="left"/>
        <w:rPr>
          <w:rFonts w:ascii="华文行楷" w:eastAsia="华文行楷"/>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行楷">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3DED46"/>
    <w:multiLevelType w:val="singleLevel"/>
    <w:tmpl w:val="5A3DED4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11BB1"/>
    <w:rsid w:val="00005520"/>
    <w:rsid w:val="0000602A"/>
    <w:rsid w:val="00012FC5"/>
    <w:rsid w:val="00015C0B"/>
    <w:rsid w:val="000167A7"/>
    <w:rsid w:val="000167B7"/>
    <w:rsid w:val="00017576"/>
    <w:rsid w:val="0001765B"/>
    <w:rsid w:val="0002259A"/>
    <w:rsid w:val="00023025"/>
    <w:rsid w:val="00024512"/>
    <w:rsid w:val="0002495A"/>
    <w:rsid w:val="00025977"/>
    <w:rsid w:val="00025F74"/>
    <w:rsid w:val="000261B6"/>
    <w:rsid w:val="00031F7E"/>
    <w:rsid w:val="00032AE0"/>
    <w:rsid w:val="00032CF0"/>
    <w:rsid w:val="000331A4"/>
    <w:rsid w:val="0003467B"/>
    <w:rsid w:val="00036FCA"/>
    <w:rsid w:val="00040B4B"/>
    <w:rsid w:val="000417D7"/>
    <w:rsid w:val="00043C63"/>
    <w:rsid w:val="00044089"/>
    <w:rsid w:val="00046289"/>
    <w:rsid w:val="000463E8"/>
    <w:rsid w:val="0004740B"/>
    <w:rsid w:val="00053151"/>
    <w:rsid w:val="0005435F"/>
    <w:rsid w:val="00054587"/>
    <w:rsid w:val="0005645E"/>
    <w:rsid w:val="00057B7E"/>
    <w:rsid w:val="00062532"/>
    <w:rsid w:val="00067337"/>
    <w:rsid w:val="000673C0"/>
    <w:rsid w:val="00072161"/>
    <w:rsid w:val="00072793"/>
    <w:rsid w:val="00072BE2"/>
    <w:rsid w:val="00081F54"/>
    <w:rsid w:val="000830AD"/>
    <w:rsid w:val="00083E3B"/>
    <w:rsid w:val="00084426"/>
    <w:rsid w:val="000855D2"/>
    <w:rsid w:val="000855EC"/>
    <w:rsid w:val="00085D7B"/>
    <w:rsid w:val="000877B5"/>
    <w:rsid w:val="00087A90"/>
    <w:rsid w:val="000908CC"/>
    <w:rsid w:val="00092860"/>
    <w:rsid w:val="00092DF9"/>
    <w:rsid w:val="00093C85"/>
    <w:rsid w:val="00093FB0"/>
    <w:rsid w:val="00094F14"/>
    <w:rsid w:val="00097504"/>
    <w:rsid w:val="00097799"/>
    <w:rsid w:val="0009786B"/>
    <w:rsid w:val="000A0C67"/>
    <w:rsid w:val="000A22F6"/>
    <w:rsid w:val="000A26A9"/>
    <w:rsid w:val="000A3E4A"/>
    <w:rsid w:val="000A6093"/>
    <w:rsid w:val="000A7B54"/>
    <w:rsid w:val="000B079C"/>
    <w:rsid w:val="000B255B"/>
    <w:rsid w:val="000B28E9"/>
    <w:rsid w:val="000B425A"/>
    <w:rsid w:val="000B4653"/>
    <w:rsid w:val="000B4A69"/>
    <w:rsid w:val="000C5656"/>
    <w:rsid w:val="000C6800"/>
    <w:rsid w:val="000C6921"/>
    <w:rsid w:val="000D306A"/>
    <w:rsid w:val="000D3241"/>
    <w:rsid w:val="000D6E29"/>
    <w:rsid w:val="000D7DA9"/>
    <w:rsid w:val="000E068F"/>
    <w:rsid w:val="000E1395"/>
    <w:rsid w:val="000E1519"/>
    <w:rsid w:val="000E2281"/>
    <w:rsid w:val="000E28D0"/>
    <w:rsid w:val="000E3228"/>
    <w:rsid w:val="000E36E2"/>
    <w:rsid w:val="000E4D44"/>
    <w:rsid w:val="000E5154"/>
    <w:rsid w:val="000E663C"/>
    <w:rsid w:val="000E7323"/>
    <w:rsid w:val="000F2007"/>
    <w:rsid w:val="000F2B86"/>
    <w:rsid w:val="000F2E96"/>
    <w:rsid w:val="000F5B61"/>
    <w:rsid w:val="000F6487"/>
    <w:rsid w:val="00100000"/>
    <w:rsid w:val="0010005F"/>
    <w:rsid w:val="001010C2"/>
    <w:rsid w:val="00101714"/>
    <w:rsid w:val="00102351"/>
    <w:rsid w:val="001037DE"/>
    <w:rsid w:val="00103802"/>
    <w:rsid w:val="00103AB8"/>
    <w:rsid w:val="001078BD"/>
    <w:rsid w:val="001104FF"/>
    <w:rsid w:val="00111091"/>
    <w:rsid w:val="00112CCD"/>
    <w:rsid w:val="0011337C"/>
    <w:rsid w:val="00114477"/>
    <w:rsid w:val="0012080F"/>
    <w:rsid w:val="001233F2"/>
    <w:rsid w:val="0012348A"/>
    <w:rsid w:val="00125A79"/>
    <w:rsid w:val="00127D67"/>
    <w:rsid w:val="00141207"/>
    <w:rsid w:val="0014362B"/>
    <w:rsid w:val="001444E2"/>
    <w:rsid w:val="00145166"/>
    <w:rsid w:val="00145231"/>
    <w:rsid w:val="00145755"/>
    <w:rsid w:val="00150803"/>
    <w:rsid w:val="0015331D"/>
    <w:rsid w:val="00154783"/>
    <w:rsid w:val="00154E0E"/>
    <w:rsid w:val="00155D2B"/>
    <w:rsid w:val="00156771"/>
    <w:rsid w:val="00157D6A"/>
    <w:rsid w:val="00160849"/>
    <w:rsid w:val="00161DAE"/>
    <w:rsid w:val="001621D2"/>
    <w:rsid w:val="001630D1"/>
    <w:rsid w:val="0016333D"/>
    <w:rsid w:val="001652E6"/>
    <w:rsid w:val="001661B1"/>
    <w:rsid w:val="00167F7F"/>
    <w:rsid w:val="001710D0"/>
    <w:rsid w:val="00171C68"/>
    <w:rsid w:val="001720CD"/>
    <w:rsid w:val="001747D7"/>
    <w:rsid w:val="001748CD"/>
    <w:rsid w:val="00175194"/>
    <w:rsid w:val="001764E5"/>
    <w:rsid w:val="00180228"/>
    <w:rsid w:val="001802FF"/>
    <w:rsid w:val="001819A5"/>
    <w:rsid w:val="00182551"/>
    <w:rsid w:val="00183CC3"/>
    <w:rsid w:val="001851DC"/>
    <w:rsid w:val="001871EB"/>
    <w:rsid w:val="001901CB"/>
    <w:rsid w:val="00191685"/>
    <w:rsid w:val="00193003"/>
    <w:rsid w:val="001953E7"/>
    <w:rsid w:val="00196867"/>
    <w:rsid w:val="001A09F7"/>
    <w:rsid w:val="001A19C0"/>
    <w:rsid w:val="001A23A6"/>
    <w:rsid w:val="001A3182"/>
    <w:rsid w:val="001A4692"/>
    <w:rsid w:val="001A59BB"/>
    <w:rsid w:val="001B374D"/>
    <w:rsid w:val="001B627D"/>
    <w:rsid w:val="001B6DBF"/>
    <w:rsid w:val="001B7ABC"/>
    <w:rsid w:val="001B7E98"/>
    <w:rsid w:val="001C0879"/>
    <w:rsid w:val="001C0FAB"/>
    <w:rsid w:val="001C1723"/>
    <w:rsid w:val="001C3C46"/>
    <w:rsid w:val="001C5372"/>
    <w:rsid w:val="001C61A4"/>
    <w:rsid w:val="001C61AE"/>
    <w:rsid w:val="001D2BF4"/>
    <w:rsid w:val="001D7255"/>
    <w:rsid w:val="001E4543"/>
    <w:rsid w:val="001E59EB"/>
    <w:rsid w:val="001E69FD"/>
    <w:rsid w:val="001E7D6A"/>
    <w:rsid w:val="001E7D9E"/>
    <w:rsid w:val="001F2386"/>
    <w:rsid w:val="001F350A"/>
    <w:rsid w:val="001F3DD0"/>
    <w:rsid w:val="001F50D6"/>
    <w:rsid w:val="001F57A9"/>
    <w:rsid w:val="001F7F62"/>
    <w:rsid w:val="00200612"/>
    <w:rsid w:val="0020115B"/>
    <w:rsid w:val="00201634"/>
    <w:rsid w:val="00201B86"/>
    <w:rsid w:val="00201CB5"/>
    <w:rsid w:val="00202459"/>
    <w:rsid w:val="00202A79"/>
    <w:rsid w:val="002030A6"/>
    <w:rsid w:val="002032A2"/>
    <w:rsid w:val="00203ED9"/>
    <w:rsid w:val="00205331"/>
    <w:rsid w:val="00207CC4"/>
    <w:rsid w:val="00207FDC"/>
    <w:rsid w:val="00210E58"/>
    <w:rsid w:val="00211DC1"/>
    <w:rsid w:val="00214B69"/>
    <w:rsid w:val="002151EF"/>
    <w:rsid w:val="00216D88"/>
    <w:rsid w:val="00222726"/>
    <w:rsid w:val="0022407C"/>
    <w:rsid w:val="0022626E"/>
    <w:rsid w:val="0022795E"/>
    <w:rsid w:val="00233107"/>
    <w:rsid w:val="002335FB"/>
    <w:rsid w:val="00235B12"/>
    <w:rsid w:val="00236A9D"/>
    <w:rsid w:val="002409CD"/>
    <w:rsid w:val="00241997"/>
    <w:rsid w:val="00242361"/>
    <w:rsid w:val="00243094"/>
    <w:rsid w:val="00245372"/>
    <w:rsid w:val="00246207"/>
    <w:rsid w:val="00246EFF"/>
    <w:rsid w:val="00251740"/>
    <w:rsid w:val="002517F2"/>
    <w:rsid w:val="002538AB"/>
    <w:rsid w:val="00253D6D"/>
    <w:rsid w:val="00256131"/>
    <w:rsid w:val="00257346"/>
    <w:rsid w:val="002576FC"/>
    <w:rsid w:val="00260C8E"/>
    <w:rsid w:val="00261094"/>
    <w:rsid w:val="00262E1C"/>
    <w:rsid w:val="002634E4"/>
    <w:rsid w:val="00263D50"/>
    <w:rsid w:val="00272390"/>
    <w:rsid w:val="00272A08"/>
    <w:rsid w:val="00272A54"/>
    <w:rsid w:val="00273E10"/>
    <w:rsid w:val="00273FD9"/>
    <w:rsid w:val="00274D94"/>
    <w:rsid w:val="002765F5"/>
    <w:rsid w:val="002779AF"/>
    <w:rsid w:val="00284EEB"/>
    <w:rsid w:val="00287F41"/>
    <w:rsid w:val="002904A0"/>
    <w:rsid w:val="00290900"/>
    <w:rsid w:val="002909C0"/>
    <w:rsid w:val="00291ACA"/>
    <w:rsid w:val="00293326"/>
    <w:rsid w:val="002944BD"/>
    <w:rsid w:val="002967D2"/>
    <w:rsid w:val="002A1492"/>
    <w:rsid w:val="002A1E0F"/>
    <w:rsid w:val="002A55A1"/>
    <w:rsid w:val="002A5A15"/>
    <w:rsid w:val="002A7EA1"/>
    <w:rsid w:val="002B0C56"/>
    <w:rsid w:val="002B126D"/>
    <w:rsid w:val="002B1AA3"/>
    <w:rsid w:val="002B39FB"/>
    <w:rsid w:val="002B4888"/>
    <w:rsid w:val="002B6B6C"/>
    <w:rsid w:val="002B74AF"/>
    <w:rsid w:val="002C0A96"/>
    <w:rsid w:val="002C3C54"/>
    <w:rsid w:val="002C7CE5"/>
    <w:rsid w:val="002D4100"/>
    <w:rsid w:val="002D6533"/>
    <w:rsid w:val="002D6B09"/>
    <w:rsid w:val="002E02DC"/>
    <w:rsid w:val="002E0988"/>
    <w:rsid w:val="002E0D1B"/>
    <w:rsid w:val="002E0EF0"/>
    <w:rsid w:val="002E1A9A"/>
    <w:rsid w:val="002E450B"/>
    <w:rsid w:val="002E58E6"/>
    <w:rsid w:val="002E5B46"/>
    <w:rsid w:val="002F1ABA"/>
    <w:rsid w:val="002F5A29"/>
    <w:rsid w:val="002F61B0"/>
    <w:rsid w:val="002F78BB"/>
    <w:rsid w:val="00300825"/>
    <w:rsid w:val="0030334A"/>
    <w:rsid w:val="00303F50"/>
    <w:rsid w:val="00304D35"/>
    <w:rsid w:val="00304E78"/>
    <w:rsid w:val="0030633B"/>
    <w:rsid w:val="003073E2"/>
    <w:rsid w:val="00307F5D"/>
    <w:rsid w:val="00310B4F"/>
    <w:rsid w:val="003115BB"/>
    <w:rsid w:val="00312B80"/>
    <w:rsid w:val="00312F3C"/>
    <w:rsid w:val="00313A16"/>
    <w:rsid w:val="00314F15"/>
    <w:rsid w:val="0032275C"/>
    <w:rsid w:val="0032639D"/>
    <w:rsid w:val="00327906"/>
    <w:rsid w:val="003301FB"/>
    <w:rsid w:val="00332DFD"/>
    <w:rsid w:val="00335EDF"/>
    <w:rsid w:val="00337392"/>
    <w:rsid w:val="003379C8"/>
    <w:rsid w:val="00337DCD"/>
    <w:rsid w:val="00340658"/>
    <w:rsid w:val="003418C0"/>
    <w:rsid w:val="003422FC"/>
    <w:rsid w:val="003423BF"/>
    <w:rsid w:val="00343171"/>
    <w:rsid w:val="00343336"/>
    <w:rsid w:val="003433FA"/>
    <w:rsid w:val="00343918"/>
    <w:rsid w:val="003450D6"/>
    <w:rsid w:val="00346AB0"/>
    <w:rsid w:val="00352A75"/>
    <w:rsid w:val="00352D4C"/>
    <w:rsid w:val="0035575F"/>
    <w:rsid w:val="00360FDC"/>
    <w:rsid w:val="003617F0"/>
    <w:rsid w:val="0036321A"/>
    <w:rsid w:val="003644DE"/>
    <w:rsid w:val="0036683A"/>
    <w:rsid w:val="00366BCD"/>
    <w:rsid w:val="0037003D"/>
    <w:rsid w:val="003733B9"/>
    <w:rsid w:val="00375B4D"/>
    <w:rsid w:val="00380AC4"/>
    <w:rsid w:val="00384DBA"/>
    <w:rsid w:val="00387013"/>
    <w:rsid w:val="0038763E"/>
    <w:rsid w:val="0039182E"/>
    <w:rsid w:val="00391E4A"/>
    <w:rsid w:val="00392591"/>
    <w:rsid w:val="003929DD"/>
    <w:rsid w:val="0039341D"/>
    <w:rsid w:val="0039467F"/>
    <w:rsid w:val="003951D2"/>
    <w:rsid w:val="00395A4A"/>
    <w:rsid w:val="00395FF3"/>
    <w:rsid w:val="003963E7"/>
    <w:rsid w:val="003979AC"/>
    <w:rsid w:val="003A26C9"/>
    <w:rsid w:val="003A3824"/>
    <w:rsid w:val="003A3A97"/>
    <w:rsid w:val="003A4B2B"/>
    <w:rsid w:val="003A5859"/>
    <w:rsid w:val="003A58AF"/>
    <w:rsid w:val="003A5AF6"/>
    <w:rsid w:val="003A6129"/>
    <w:rsid w:val="003B2EB9"/>
    <w:rsid w:val="003B34D4"/>
    <w:rsid w:val="003B48AF"/>
    <w:rsid w:val="003B5A83"/>
    <w:rsid w:val="003C074A"/>
    <w:rsid w:val="003C07FB"/>
    <w:rsid w:val="003C1E5D"/>
    <w:rsid w:val="003C3143"/>
    <w:rsid w:val="003C501B"/>
    <w:rsid w:val="003C7898"/>
    <w:rsid w:val="003C7CC6"/>
    <w:rsid w:val="003D010E"/>
    <w:rsid w:val="003D0F3E"/>
    <w:rsid w:val="003D1052"/>
    <w:rsid w:val="003D1753"/>
    <w:rsid w:val="003D219B"/>
    <w:rsid w:val="003D2677"/>
    <w:rsid w:val="003D2763"/>
    <w:rsid w:val="003D5EB8"/>
    <w:rsid w:val="003D69EE"/>
    <w:rsid w:val="003E2AC9"/>
    <w:rsid w:val="003E3D9B"/>
    <w:rsid w:val="003E49B4"/>
    <w:rsid w:val="003E7341"/>
    <w:rsid w:val="003E7F47"/>
    <w:rsid w:val="003F010B"/>
    <w:rsid w:val="003F20B6"/>
    <w:rsid w:val="003F59D0"/>
    <w:rsid w:val="003F5E97"/>
    <w:rsid w:val="003F616F"/>
    <w:rsid w:val="003F6769"/>
    <w:rsid w:val="003F746C"/>
    <w:rsid w:val="003F774F"/>
    <w:rsid w:val="003F776D"/>
    <w:rsid w:val="00400838"/>
    <w:rsid w:val="004009DD"/>
    <w:rsid w:val="00401DA3"/>
    <w:rsid w:val="004050AF"/>
    <w:rsid w:val="00406B6E"/>
    <w:rsid w:val="004109B6"/>
    <w:rsid w:val="00410C6F"/>
    <w:rsid w:val="00413088"/>
    <w:rsid w:val="004132AE"/>
    <w:rsid w:val="00420615"/>
    <w:rsid w:val="004215A2"/>
    <w:rsid w:val="004215C4"/>
    <w:rsid w:val="004216D0"/>
    <w:rsid w:val="004219AA"/>
    <w:rsid w:val="004256A0"/>
    <w:rsid w:val="004259C4"/>
    <w:rsid w:val="00426ECE"/>
    <w:rsid w:val="00427D6A"/>
    <w:rsid w:val="0043272D"/>
    <w:rsid w:val="0043458C"/>
    <w:rsid w:val="00436693"/>
    <w:rsid w:val="00441950"/>
    <w:rsid w:val="0044234D"/>
    <w:rsid w:val="004431C0"/>
    <w:rsid w:val="00443832"/>
    <w:rsid w:val="00452C54"/>
    <w:rsid w:val="00453140"/>
    <w:rsid w:val="00453E5E"/>
    <w:rsid w:val="00454EF9"/>
    <w:rsid w:val="00455256"/>
    <w:rsid w:val="0045580D"/>
    <w:rsid w:val="00466008"/>
    <w:rsid w:val="00471DD9"/>
    <w:rsid w:val="00471ECC"/>
    <w:rsid w:val="00473246"/>
    <w:rsid w:val="00474BEC"/>
    <w:rsid w:val="00474C13"/>
    <w:rsid w:val="0047507B"/>
    <w:rsid w:val="00475494"/>
    <w:rsid w:val="0047565B"/>
    <w:rsid w:val="00480002"/>
    <w:rsid w:val="004800BB"/>
    <w:rsid w:val="00480293"/>
    <w:rsid w:val="004802CA"/>
    <w:rsid w:val="00480AD4"/>
    <w:rsid w:val="0048104B"/>
    <w:rsid w:val="00481351"/>
    <w:rsid w:val="00481F21"/>
    <w:rsid w:val="00483008"/>
    <w:rsid w:val="0048507F"/>
    <w:rsid w:val="004865A3"/>
    <w:rsid w:val="004904FF"/>
    <w:rsid w:val="004A1A86"/>
    <w:rsid w:val="004A2594"/>
    <w:rsid w:val="004A2A30"/>
    <w:rsid w:val="004A3A54"/>
    <w:rsid w:val="004A4104"/>
    <w:rsid w:val="004A55A7"/>
    <w:rsid w:val="004B08CE"/>
    <w:rsid w:val="004B0AD3"/>
    <w:rsid w:val="004B4AE1"/>
    <w:rsid w:val="004B78BE"/>
    <w:rsid w:val="004B7B5D"/>
    <w:rsid w:val="004B7BF8"/>
    <w:rsid w:val="004B7CF1"/>
    <w:rsid w:val="004C0585"/>
    <w:rsid w:val="004C2540"/>
    <w:rsid w:val="004C2DD6"/>
    <w:rsid w:val="004C33C3"/>
    <w:rsid w:val="004C3403"/>
    <w:rsid w:val="004C46F2"/>
    <w:rsid w:val="004C552D"/>
    <w:rsid w:val="004C6680"/>
    <w:rsid w:val="004D109A"/>
    <w:rsid w:val="004D3092"/>
    <w:rsid w:val="004D45C8"/>
    <w:rsid w:val="004D64DF"/>
    <w:rsid w:val="004D70E6"/>
    <w:rsid w:val="004D78BC"/>
    <w:rsid w:val="004E07CD"/>
    <w:rsid w:val="004E08A0"/>
    <w:rsid w:val="004E0FF0"/>
    <w:rsid w:val="004E11AA"/>
    <w:rsid w:val="004E3346"/>
    <w:rsid w:val="004E374D"/>
    <w:rsid w:val="004E3919"/>
    <w:rsid w:val="004F0012"/>
    <w:rsid w:val="004F5667"/>
    <w:rsid w:val="004F6486"/>
    <w:rsid w:val="004F742B"/>
    <w:rsid w:val="00500221"/>
    <w:rsid w:val="00500A71"/>
    <w:rsid w:val="00501445"/>
    <w:rsid w:val="00501A9F"/>
    <w:rsid w:val="0050214E"/>
    <w:rsid w:val="0050275D"/>
    <w:rsid w:val="005035EE"/>
    <w:rsid w:val="00503DF6"/>
    <w:rsid w:val="00504070"/>
    <w:rsid w:val="00504516"/>
    <w:rsid w:val="005105A2"/>
    <w:rsid w:val="00510B8F"/>
    <w:rsid w:val="005148EA"/>
    <w:rsid w:val="005206DD"/>
    <w:rsid w:val="005225FA"/>
    <w:rsid w:val="0052458C"/>
    <w:rsid w:val="00524F26"/>
    <w:rsid w:val="00526397"/>
    <w:rsid w:val="00534217"/>
    <w:rsid w:val="00534223"/>
    <w:rsid w:val="00535A92"/>
    <w:rsid w:val="00536228"/>
    <w:rsid w:val="005372A9"/>
    <w:rsid w:val="005379EB"/>
    <w:rsid w:val="00537C68"/>
    <w:rsid w:val="00541122"/>
    <w:rsid w:val="00542A05"/>
    <w:rsid w:val="00545129"/>
    <w:rsid w:val="00550B98"/>
    <w:rsid w:val="005511B9"/>
    <w:rsid w:val="00551293"/>
    <w:rsid w:val="00551BC2"/>
    <w:rsid w:val="00551C4C"/>
    <w:rsid w:val="00552EE2"/>
    <w:rsid w:val="00553B22"/>
    <w:rsid w:val="00553EFB"/>
    <w:rsid w:val="00555A08"/>
    <w:rsid w:val="0055755D"/>
    <w:rsid w:val="00562DA2"/>
    <w:rsid w:val="00563329"/>
    <w:rsid w:val="00563BDC"/>
    <w:rsid w:val="00564715"/>
    <w:rsid w:val="0056589C"/>
    <w:rsid w:val="005661BB"/>
    <w:rsid w:val="00566A67"/>
    <w:rsid w:val="005706EE"/>
    <w:rsid w:val="0057222C"/>
    <w:rsid w:val="005767AD"/>
    <w:rsid w:val="00581411"/>
    <w:rsid w:val="00582829"/>
    <w:rsid w:val="005828BF"/>
    <w:rsid w:val="00583FA8"/>
    <w:rsid w:val="0058618C"/>
    <w:rsid w:val="00591C07"/>
    <w:rsid w:val="0059418F"/>
    <w:rsid w:val="00594BE6"/>
    <w:rsid w:val="005A0592"/>
    <w:rsid w:val="005A2152"/>
    <w:rsid w:val="005A2300"/>
    <w:rsid w:val="005A329E"/>
    <w:rsid w:val="005A39B1"/>
    <w:rsid w:val="005A6099"/>
    <w:rsid w:val="005A68B7"/>
    <w:rsid w:val="005A76A3"/>
    <w:rsid w:val="005B1661"/>
    <w:rsid w:val="005B3447"/>
    <w:rsid w:val="005B4BEA"/>
    <w:rsid w:val="005B4F78"/>
    <w:rsid w:val="005B61F5"/>
    <w:rsid w:val="005B6973"/>
    <w:rsid w:val="005C0E5D"/>
    <w:rsid w:val="005C1D25"/>
    <w:rsid w:val="005C4BC9"/>
    <w:rsid w:val="005C61EA"/>
    <w:rsid w:val="005C6D21"/>
    <w:rsid w:val="005C703C"/>
    <w:rsid w:val="005C718F"/>
    <w:rsid w:val="005C7BE4"/>
    <w:rsid w:val="005D1096"/>
    <w:rsid w:val="005D12A7"/>
    <w:rsid w:val="005D1C8E"/>
    <w:rsid w:val="005D1CEF"/>
    <w:rsid w:val="005D2297"/>
    <w:rsid w:val="005D38C2"/>
    <w:rsid w:val="005D50F6"/>
    <w:rsid w:val="005E21A3"/>
    <w:rsid w:val="005E4485"/>
    <w:rsid w:val="005E45FE"/>
    <w:rsid w:val="005E4789"/>
    <w:rsid w:val="005E5805"/>
    <w:rsid w:val="005E681F"/>
    <w:rsid w:val="005F03BC"/>
    <w:rsid w:val="005F3B10"/>
    <w:rsid w:val="005F43B6"/>
    <w:rsid w:val="005F4628"/>
    <w:rsid w:val="005F4F46"/>
    <w:rsid w:val="005F6496"/>
    <w:rsid w:val="005F7C42"/>
    <w:rsid w:val="00600308"/>
    <w:rsid w:val="006017D2"/>
    <w:rsid w:val="006022EA"/>
    <w:rsid w:val="00602762"/>
    <w:rsid w:val="0060305B"/>
    <w:rsid w:val="00603831"/>
    <w:rsid w:val="00604C21"/>
    <w:rsid w:val="00605D94"/>
    <w:rsid w:val="00607AB2"/>
    <w:rsid w:val="00610D0B"/>
    <w:rsid w:val="00612247"/>
    <w:rsid w:val="00615F5E"/>
    <w:rsid w:val="00616F98"/>
    <w:rsid w:val="00617CA8"/>
    <w:rsid w:val="00621D15"/>
    <w:rsid w:val="006226F0"/>
    <w:rsid w:val="00623160"/>
    <w:rsid w:val="0062341A"/>
    <w:rsid w:val="0062596E"/>
    <w:rsid w:val="00627A9C"/>
    <w:rsid w:val="00631135"/>
    <w:rsid w:val="0063159F"/>
    <w:rsid w:val="006344C3"/>
    <w:rsid w:val="00641150"/>
    <w:rsid w:val="00642C3D"/>
    <w:rsid w:val="00643C95"/>
    <w:rsid w:val="0064442B"/>
    <w:rsid w:val="00644555"/>
    <w:rsid w:val="0064516D"/>
    <w:rsid w:val="00645351"/>
    <w:rsid w:val="0064642E"/>
    <w:rsid w:val="006464F6"/>
    <w:rsid w:val="00647927"/>
    <w:rsid w:val="00650630"/>
    <w:rsid w:val="00650EB5"/>
    <w:rsid w:val="00651EBF"/>
    <w:rsid w:val="0066292B"/>
    <w:rsid w:val="00662C4C"/>
    <w:rsid w:val="006634F3"/>
    <w:rsid w:val="00663CFC"/>
    <w:rsid w:val="00663F75"/>
    <w:rsid w:val="00663FA3"/>
    <w:rsid w:val="006644B6"/>
    <w:rsid w:val="00664805"/>
    <w:rsid w:val="00664F65"/>
    <w:rsid w:val="00667424"/>
    <w:rsid w:val="00671CE6"/>
    <w:rsid w:val="00672464"/>
    <w:rsid w:val="0067271C"/>
    <w:rsid w:val="00672E06"/>
    <w:rsid w:val="00673ADC"/>
    <w:rsid w:val="00673E3D"/>
    <w:rsid w:val="00673EA0"/>
    <w:rsid w:val="0067423D"/>
    <w:rsid w:val="006764C2"/>
    <w:rsid w:val="0067736F"/>
    <w:rsid w:val="0067742E"/>
    <w:rsid w:val="00680151"/>
    <w:rsid w:val="006832DA"/>
    <w:rsid w:val="00683695"/>
    <w:rsid w:val="00683AA9"/>
    <w:rsid w:val="00683F18"/>
    <w:rsid w:val="006877F8"/>
    <w:rsid w:val="006879B2"/>
    <w:rsid w:val="00687F3A"/>
    <w:rsid w:val="00690099"/>
    <w:rsid w:val="006911CC"/>
    <w:rsid w:val="00692598"/>
    <w:rsid w:val="00694B87"/>
    <w:rsid w:val="00695EAF"/>
    <w:rsid w:val="00696557"/>
    <w:rsid w:val="00696F99"/>
    <w:rsid w:val="00696FC2"/>
    <w:rsid w:val="0069746D"/>
    <w:rsid w:val="006979A9"/>
    <w:rsid w:val="006A007A"/>
    <w:rsid w:val="006A05AD"/>
    <w:rsid w:val="006A08E7"/>
    <w:rsid w:val="006A11BB"/>
    <w:rsid w:val="006B2E3B"/>
    <w:rsid w:val="006B46CD"/>
    <w:rsid w:val="006B5F26"/>
    <w:rsid w:val="006B60A3"/>
    <w:rsid w:val="006B7B2C"/>
    <w:rsid w:val="006C0632"/>
    <w:rsid w:val="006C0DD4"/>
    <w:rsid w:val="006C16AB"/>
    <w:rsid w:val="006C391D"/>
    <w:rsid w:val="006C468C"/>
    <w:rsid w:val="006C49A7"/>
    <w:rsid w:val="006C6602"/>
    <w:rsid w:val="006C6EF2"/>
    <w:rsid w:val="006D0ECB"/>
    <w:rsid w:val="006D19AD"/>
    <w:rsid w:val="006D3952"/>
    <w:rsid w:val="006E07BF"/>
    <w:rsid w:val="006E1200"/>
    <w:rsid w:val="006E1EDC"/>
    <w:rsid w:val="006E432A"/>
    <w:rsid w:val="006E492C"/>
    <w:rsid w:val="006E632E"/>
    <w:rsid w:val="006F08CF"/>
    <w:rsid w:val="006F0BA1"/>
    <w:rsid w:val="006F2333"/>
    <w:rsid w:val="006F2DDB"/>
    <w:rsid w:val="006F4710"/>
    <w:rsid w:val="006F7925"/>
    <w:rsid w:val="00700C90"/>
    <w:rsid w:val="00702401"/>
    <w:rsid w:val="007043A3"/>
    <w:rsid w:val="00705D0D"/>
    <w:rsid w:val="00707FAB"/>
    <w:rsid w:val="00710A5F"/>
    <w:rsid w:val="00710B4C"/>
    <w:rsid w:val="00711642"/>
    <w:rsid w:val="0071196E"/>
    <w:rsid w:val="0071266C"/>
    <w:rsid w:val="0071274C"/>
    <w:rsid w:val="00714C59"/>
    <w:rsid w:val="007177EB"/>
    <w:rsid w:val="00717EA6"/>
    <w:rsid w:val="00717F48"/>
    <w:rsid w:val="00721F86"/>
    <w:rsid w:val="007220A8"/>
    <w:rsid w:val="0072765F"/>
    <w:rsid w:val="00727F4D"/>
    <w:rsid w:val="00731466"/>
    <w:rsid w:val="00733115"/>
    <w:rsid w:val="0073340F"/>
    <w:rsid w:val="007372A8"/>
    <w:rsid w:val="00737ED2"/>
    <w:rsid w:val="007401D6"/>
    <w:rsid w:val="007416D3"/>
    <w:rsid w:val="0074197E"/>
    <w:rsid w:val="00744194"/>
    <w:rsid w:val="00744889"/>
    <w:rsid w:val="00745A8A"/>
    <w:rsid w:val="00746152"/>
    <w:rsid w:val="00750107"/>
    <w:rsid w:val="007507C9"/>
    <w:rsid w:val="0075162D"/>
    <w:rsid w:val="00751DF6"/>
    <w:rsid w:val="007529C6"/>
    <w:rsid w:val="00754DBB"/>
    <w:rsid w:val="00755B58"/>
    <w:rsid w:val="0075615B"/>
    <w:rsid w:val="00757A46"/>
    <w:rsid w:val="00763E3A"/>
    <w:rsid w:val="00764592"/>
    <w:rsid w:val="007647EA"/>
    <w:rsid w:val="00770028"/>
    <w:rsid w:val="007727AE"/>
    <w:rsid w:val="00772827"/>
    <w:rsid w:val="00774533"/>
    <w:rsid w:val="00775712"/>
    <w:rsid w:val="00776F3C"/>
    <w:rsid w:val="00780666"/>
    <w:rsid w:val="007806A4"/>
    <w:rsid w:val="00781D73"/>
    <w:rsid w:val="00783771"/>
    <w:rsid w:val="007837D3"/>
    <w:rsid w:val="007860E3"/>
    <w:rsid w:val="00786518"/>
    <w:rsid w:val="0078669B"/>
    <w:rsid w:val="007871E4"/>
    <w:rsid w:val="00787FB0"/>
    <w:rsid w:val="00791A14"/>
    <w:rsid w:val="007942CB"/>
    <w:rsid w:val="007A077C"/>
    <w:rsid w:val="007A1BBD"/>
    <w:rsid w:val="007A288A"/>
    <w:rsid w:val="007A3CD0"/>
    <w:rsid w:val="007A412B"/>
    <w:rsid w:val="007A4EDC"/>
    <w:rsid w:val="007A6D78"/>
    <w:rsid w:val="007B2D3A"/>
    <w:rsid w:val="007B6F2F"/>
    <w:rsid w:val="007C3553"/>
    <w:rsid w:val="007C400D"/>
    <w:rsid w:val="007C6C3D"/>
    <w:rsid w:val="007C761C"/>
    <w:rsid w:val="007D0755"/>
    <w:rsid w:val="007D167A"/>
    <w:rsid w:val="007D18C5"/>
    <w:rsid w:val="007D754F"/>
    <w:rsid w:val="007E231B"/>
    <w:rsid w:val="007E23D9"/>
    <w:rsid w:val="007E4272"/>
    <w:rsid w:val="007E5CC9"/>
    <w:rsid w:val="007E6E51"/>
    <w:rsid w:val="007F232E"/>
    <w:rsid w:val="007F3687"/>
    <w:rsid w:val="007F5C59"/>
    <w:rsid w:val="007F6560"/>
    <w:rsid w:val="007F6DB2"/>
    <w:rsid w:val="00800E2C"/>
    <w:rsid w:val="00801DCB"/>
    <w:rsid w:val="00802BA1"/>
    <w:rsid w:val="00805C84"/>
    <w:rsid w:val="00805F0A"/>
    <w:rsid w:val="00806B4B"/>
    <w:rsid w:val="00806C33"/>
    <w:rsid w:val="008110F8"/>
    <w:rsid w:val="0081172B"/>
    <w:rsid w:val="00811BB1"/>
    <w:rsid w:val="00812999"/>
    <w:rsid w:val="00812EB2"/>
    <w:rsid w:val="00814D56"/>
    <w:rsid w:val="00816F63"/>
    <w:rsid w:val="00820CDE"/>
    <w:rsid w:val="00820E9C"/>
    <w:rsid w:val="00821B6A"/>
    <w:rsid w:val="0082216B"/>
    <w:rsid w:val="00822CEC"/>
    <w:rsid w:val="008251BF"/>
    <w:rsid w:val="00826EA6"/>
    <w:rsid w:val="0083226F"/>
    <w:rsid w:val="00832747"/>
    <w:rsid w:val="00832E83"/>
    <w:rsid w:val="00833541"/>
    <w:rsid w:val="00833A68"/>
    <w:rsid w:val="00836402"/>
    <w:rsid w:val="00837B16"/>
    <w:rsid w:val="00842AED"/>
    <w:rsid w:val="008443CE"/>
    <w:rsid w:val="008453A9"/>
    <w:rsid w:val="00846534"/>
    <w:rsid w:val="008468A2"/>
    <w:rsid w:val="00851D26"/>
    <w:rsid w:val="00853252"/>
    <w:rsid w:val="008533AD"/>
    <w:rsid w:val="0085434D"/>
    <w:rsid w:val="008546BA"/>
    <w:rsid w:val="0085513B"/>
    <w:rsid w:val="00857AC9"/>
    <w:rsid w:val="008607CF"/>
    <w:rsid w:val="00863CD8"/>
    <w:rsid w:val="00864683"/>
    <w:rsid w:val="008655D9"/>
    <w:rsid w:val="0086569D"/>
    <w:rsid w:val="0086775B"/>
    <w:rsid w:val="00870682"/>
    <w:rsid w:val="00870CA6"/>
    <w:rsid w:val="00870E15"/>
    <w:rsid w:val="0087105A"/>
    <w:rsid w:val="008722C5"/>
    <w:rsid w:val="00872EEE"/>
    <w:rsid w:val="00875AC5"/>
    <w:rsid w:val="00875DB8"/>
    <w:rsid w:val="0087745A"/>
    <w:rsid w:val="00880F3F"/>
    <w:rsid w:val="00881553"/>
    <w:rsid w:val="00882BB8"/>
    <w:rsid w:val="00882C73"/>
    <w:rsid w:val="00886D01"/>
    <w:rsid w:val="00887B74"/>
    <w:rsid w:val="00892872"/>
    <w:rsid w:val="0089616B"/>
    <w:rsid w:val="008969FD"/>
    <w:rsid w:val="00897CE5"/>
    <w:rsid w:val="008A213D"/>
    <w:rsid w:val="008A44DE"/>
    <w:rsid w:val="008A4DF0"/>
    <w:rsid w:val="008A5C23"/>
    <w:rsid w:val="008A65FD"/>
    <w:rsid w:val="008A6D23"/>
    <w:rsid w:val="008A6DD4"/>
    <w:rsid w:val="008A7F33"/>
    <w:rsid w:val="008B01A6"/>
    <w:rsid w:val="008B0CE9"/>
    <w:rsid w:val="008B14B2"/>
    <w:rsid w:val="008B277E"/>
    <w:rsid w:val="008B2783"/>
    <w:rsid w:val="008B3CF8"/>
    <w:rsid w:val="008B4881"/>
    <w:rsid w:val="008B55DA"/>
    <w:rsid w:val="008B55F1"/>
    <w:rsid w:val="008C4317"/>
    <w:rsid w:val="008C7A75"/>
    <w:rsid w:val="008D37F6"/>
    <w:rsid w:val="008E45F5"/>
    <w:rsid w:val="008E579D"/>
    <w:rsid w:val="008E6858"/>
    <w:rsid w:val="008E70BA"/>
    <w:rsid w:val="008F0F83"/>
    <w:rsid w:val="008F11BB"/>
    <w:rsid w:val="008F1BDA"/>
    <w:rsid w:val="008F3DFB"/>
    <w:rsid w:val="008F6B4B"/>
    <w:rsid w:val="008F7A58"/>
    <w:rsid w:val="00901D79"/>
    <w:rsid w:val="00902872"/>
    <w:rsid w:val="0090297D"/>
    <w:rsid w:val="00902D04"/>
    <w:rsid w:val="00902EF5"/>
    <w:rsid w:val="00903ED6"/>
    <w:rsid w:val="00904888"/>
    <w:rsid w:val="009057C4"/>
    <w:rsid w:val="00905CEC"/>
    <w:rsid w:val="00910B8B"/>
    <w:rsid w:val="00913C2D"/>
    <w:rsid w:val="0091407F"/>
    <w:rsid w:val="00915906"/>
    <w:rsid w:val="00916364"/>
    <w:rsid w:val="0091682F"/>
    <w:rsid w:val="00917256"/>
    <w:rsid w:val="00920AB8"/>
    <w:rsid w:val="00921631"/>
    <w:rsid w:val="00921BF4"/>
    <w:rsid w:val="00922F45"/>
    <w:rsid w:val="009231CA"/>
    <w:rsid w:val="00925491"/>
    <w:rsid w:val="0092651D"/>
    <w:rsid w:val="00926839"/>
    <w:rsid w:val="00927F87"/>
    <w:rsid w:val="00930523"/>
    <w:rsid w:val="0093235F"/>
    <w:rsid w:val="00932E92"/>
    <w:rsid w:val="009332D8"/>
    <w:rsid w:val="009350E7"/>
    <w:rsid w:val="00935804"/>
    <w:rsid w:val="00937AD1"/>
    <w:rsid w:val="009425B0"/>
    <w:rsid w:val="00946783"/>
    <w:rsid w:val="00946F95"/>
    <w:rsid w:val="009472AE"/>
    <w:rsid w:val="00947471"/>
    <w:rsid w:val="00950CCE"/>
    <w:rsid w:val="00952B1C"/>
    <w:rsid w:val="00953071"/>
    <w:rsid w:val="00953C63"/>
    <w:rsid w:val="00955F66"/>
    <w:rsid w:val="00956455"/>
    <w:rsid w:val="0095685A"/>
    <w:rsid w:val="0095728A"/>
    <w:rsid w:val="00957D3F"/>
    <w:rsid w:val="00960ACB"/>
    <w:rsid w:val="00961E97"/>
    <w:rsid w:val="0096435C"/>
    <w:rsid w:val="00966426"/>
    <w:rsid w:val="00966D1D"/>
    <w:rsid w:val="00967CB7"/>
    <w:rsid w:val="00970397"/>
    <w:rsid w:val="0097329E"/>
    <w:rsid w:val="00974352"/>
    <w:rsid w:val="00976BFA"/>
    <w:rsid w:val="00977F37"/>
    <w:rsid w:val="00980A52"/>
    <w:rsid w:val="00980F8E"/>
    <w:rsid w:val="00980FD3"/>
    <w:rsid w:val="00983E8F"/>
    <w:rsid w:val="0098447F"/>
    <w:rsid w:val="00986664"/>
    <w:rsid w:val="00991B21"/>
    <w:rsid w:val="00994059"/>
    <w:rsid w:val="00994D38"/>
    <w:rsid w:val="00994F22"/>
    <w:rsid w:val="009A16FE"/>
    <w:rsid w:val="009A1A31"/>
    <w:rsid w:val="009A245E"/>
    <w:rsid w:val="009A278D"/>
    <w:rsid w:val="009A4244"/>
    <w:rsid w:val="009A4484"/>
    <w:rsid w:val="009A65CB"/>
    <w:rsid w:val="009A7179"/>
    <w:rsid w:val="009A752F"/>
    <w:rsid w:val="009B0292"/>
    <w:rsid w:val="009B0331"/>
    <w:rsid w:val="009B2B69"/>
    <w:rsid w:val="009B4746"/>
    <w:rsid w:val="009B5067"/>
    <w:rsid w:val="009B7DAF"/>
    <w:rsid w:val="009C182E"/>
    <w:rsid w:val="009C1A44"/>
    <w:rsid w:val="009C1A60"/>
    <w:rsid w:val="009C3E2B"/>
    <w:rsid w:val="009D1F33"/>
    <w:rsid w:val="009D2CC6"/>
    <w:rsid w:val="009D382D"/>
    <w:rsid w:val="009E3345"/>
    <w:rsid w:val="009E3F03"/>
    <w:rsid w:val="009E54D8"/>
    <w:rsid w:val="009E59C5"/>
    <w:rsid w:val="009E6D85"/>
    <w:rsid w:val="009F0504"/>
    <w:rsid w:val="009F136D"/>
    <w:rsid w:val="009F246B"/>
    <w:rsid w:val="009F25A5"/>
    <w:rsid w:val="009F32D0"/>
    <w:rsid w:val="009F34FE"/>
    <w:rsid w:val="009F7475"/>
    <w:rsid w:val="009F7C0D"/>
    <w:rsid w:val="00A00006"/>
    <w:rsid w:val="00A028F5"/>
    <w:rsid w:val="00A02C0B"/>
    <w:rsid w:val="00A05481"/>
    <w:rsid w:val="00A05989"/>
    <w:rsid w:val="00A05E54"/>
    <w:rsid w:val="00A06D60"/>
    <w:rsid w:val="00A07FFA"/>
    <w:rsid w:val="00A1357A"/>
    <w:rsid w:val="00A15338"/>
    <w:rsid w:val="00A15415"/>
    <w:rsid w:val="00A15C57"/>
    <w:rsid w:val="00A17161"/>
    <w:rsid w:val="00A17833"/>
    <w:rsid w:val="00A17972"/>
    <w:rsid w:val="00A2032B"/>
    <w:rsid w:val="00A22367"/>
    <w:rsid w:val="00A270FA"/>
    <w:rsid w:val="00A27732"/>
    <w:rsid w:val="00A332EF"/>
    <w:rsid w:val="00A36316"/>
    <w:rsid w:val="00A37A2D"/>
    <w:rsid w:val="00A40D5B"/>
    <w:rsid w:val="00A41CC3"/>
    <w:rsid w:val="00A43B31"/>
    <w:rsid w:val="00A4474F"/>
    <w:rsid w:val="00A45B82"/>
    <w:rsid w:val="00A4637F"/>
    <w:rsid w:val="00A47454"/>
    <w:rsid w:val="00A50C0E"/>
    <w:rsid w:val="00A50D72"/>
    <w:rsid w:val="00A515BE"/>
    <w:rsid w:val="00A52B43"/>
    <w:rsid w:val="00A5460F"/>
    <w:rsid w:val="00A6266B"/>
    <w:rsid w:val="00A6393F"/>
    <w:rsid w:val="00A64F7D"/>
    <w:rsid w:val="00A65CF1"/>
    <w:rsid w:val="00A70C98"/>
    <w:rsid w:val="00A74373"/>
    <w:rsid w:val="00A74ED7"/>
    <w:rsid w:val="00A75372"/>
    <w:rsid w:val="00A778DF"/>
    <w:rsid w:val="00A814D5"/>
    <w:rsid w:val="00A817A7"/>
    <w:rsid w:val="00A839D7"/>
    <w:rsid w:val="00A85761"/>
    <w:rsid w:val="00A85CAD"/>
    <w:rsid w:val="00A86C82"/>
    <w:rsid w:val="00A90595"/>
    <w:rsid w:val="00A90BCB"/>
    <w:rsid w:val="00A91F00"/>
    <w:rsid w:val="00A92897"/>
    <w:rsid w:val="00A93A8A"/>
    <w:rsid w:val="00A94B91"/>
    <w:rsid w:val="00A955AC"/>
    <w:rsid w:val="00A9579B"/>
    <w:rsid w:val="00A96550"/>
    <w:rsid w:val="00A97639"/>
    <w:rsid w:val="00AA3034"/>
    <w:rsid w:val="00AA4EB1"/>
    <w:rsid w:val="00AA5942"/>
    <w:rsid w:val="00AA67E9"/>
    <w:rsid w:val="00AA7CE1"/>
    <w:rsid w:val="00AB14BA"/>
    <w:rsid w:val="00AB16A4"/>
    <w:rsid w:val="00AB347A"/>
    <w:rsid w:val="00AB3BF8"/>
    <w:rsid w:val="00AB5A4C"/>
    <w:rsid w:val="00AB66E0"/>
    <w:rsid w:val="00AC01CE"/>
    <w:rsid w:val="00AC0A9F"/>
    <w:rsid w:val="00AC28EE"/>
    <w:rsid w:val="00AC35EE"/>
    <w:rsid w:val="00AC65D9"/>
    <w:rsid w:val="00AC6DBB"/>
    <w:rsid w:val="00AC77B6"/>
    <w:rsid w:val="00AC7CF2"/>
    <w:rsid w:val="00AD0430"/>
    <w:rsid w:val="00AD14D3"/>
    <w:rsid w:val="00AD1A8F"/>
    <w:rsid w:val="00AD24C2"/>
    <w:rsid w:val="00AD41F8"/>
    <w:rsid w:val="00AD478A"/>
    <w:rsid w:val="00AD4940"/>
    <w:rsid w:val="00AD6AD1"/>
    <w:rsid w:val="00AD6FEF"/>
    <w:rsid w:val="00AE02B7"/>
    <w:rsid w:val="00AE1035"/>
    <w:rsid w:val="00AE1926"/>
    <w:rsid w:val="00AE363C"/>
    <w:rsid w:val="00AE4646"/>
    <w:rsid w:val="00AE51AC"/>
    <w:rsid w:val="00AE5FB7"/>
    <w:rsid w:val="00AE720F"/>
    <w:rsid w:val="00AE758C"/>
    <w:rsid w:val="00AE7B28"/>
    <w:rsid w:val="00AF19CC"/>
    <w:rsid w:val="00AF37D5"/>
    <w:rsid w:val="00AF4353"/>
    <w:rsid w:val="00AF7AEA"/>
    <w:rsid w:val="00B017A8"/>
    <w:rsid w:val="00B01D03"/>
    <w:rsid w:val="00B02D68"/>
    <w:rsid w:val="00B04610"/>
    <w:rsid w:val="00B04B88"/>
    <w:rsid w:val="00B04FFD"/>
    <w:rsid w:val="00B0536B"/>
    <w:rsid w:val="00B056E8"/>
    <w:rsid w:val="00B06DE5"/>
    <w:rsid w:val="00B07D05"/>
    <w:rsid w:val="00B10B78"/>
    <w:rsid w:val="00B11CF6"/>
    <w:rsid w:val="00B166C0"/>
    <w:rsid w:val="00B20E7B"/>
    <w:rsid w:val="00B219CB"/>
    <w:rsid w:val="00B27A6B"/>
    <w:rsid w:val="00B313B1"/>
    <w:rsid w:val="00B32181"/>
    <w:rsid w:val="00B32A31"/>
    <w:rsid w:val="00B34CE7"/>
    <w:rsid w:val="00B3541B"/>
    <w:rsid w:val="00B35A99"/>
    <w:rsid w:val="00B37550"/>
    <w:rsid w:val="00B40002"/>
    <w:rsid w:val="00B40FE2"/>
    <w:rsid w:val="00B428B6"/>
    <w:rsid w:val="00B42DFB"/>
    <w:rsid w:val="00B430F4"/>
    <w:rsid w:val="00B4462F"/>
    <w:rsid w:val="00B472B7"/>
    <w:rsid w:val="00B51BA0"/>
    <w:rsid w:val="00B546C8"/>
    <w:rsid w:val="00B54F0F"/>
    <w:rsid w:val="00B568C1"/>
    <w:rsid w:val="00B57A57"/>
    <w:rsid w:val="00B60C4D"/>
    <w:rsid w:val="00B61512"/>
    <w:rsid w:val="00B61881"/>
    <w:rsid w:val="00B63D84"/>
    <w:rsid w:val="00B640D7"/>
    <w:rsid w:val="00B65316"/>
    <w:rsid w:val="00B71105"/>
    <w:rsid w:val="00B71500"/>
    <w:rsid w:val="00B72F9C"/>
    <w:rsid w:val="00B74D12"/>
    <w:rsid w:val="00B7594D"/>
    <w:rsid w:val="00B769BE"/>
    <w:rsid w:val="00B77DC5"/>
    <w:rsid w:val="00B81785"/>
    <w:rsid w:val="00B81A99"/>
    <w:rsid w:val="00B85023"/>
    <w:rsid w:val="00B87182"/>
    <w:rsid w:val="00B90A7B"/>
    <w:rsid w:val="00B90D32"/>
    <w:rsid w:val="00B90D6A"/>
    <w:rsid w:val="00B91736"/>
    <w:rsid w:val="00B954F4"/>
    <w:rsid w:val="00BA0AA8"/>
    <w:rsid w:val="00BA3BDA"/>
    <w:rsid w:val="00BA542E"/>
    <w:rsid w:val="00BA56CE"/>
    <w:rsid w:val="00BA5E12"/>
    <w:rsid w:val="00BB27E7"/>
    <w:rsid w:val="00BB332C"/>
    <w:rsid w:val="00BB47F8"/>
    <w:rsid w:val="00BB605E"/>
    <w:rsid w:val="00BB79DD"/>
    <w:rsid w:val="00BC07CE"/>
    <w:rsid w:val="00BC206C"/>
    <w:rsid w:val="00BC32F7"/>
    <w:rsid w:val="00BC48A7"/>
    <w:rsid w:val="00BC4E32"/>
    <w:rsid w:val="00BC6EF1"/>
    <w:rsid w:val="00BD0CE9"/>
    <w:rsid w:val="00BD0DC3"/>
    <w:rsid w:val="00BD13C7"/>
    <w:rsid w:val="00BD2BF8"/>
    <w:rsid w:val="00BD2E52"/>
    <w:rsid w:val="00BD5BBF"/>
    <w:rsid w:val="00BD5FAD"/>
    <w:rsid w:val="00BD62BC"/>
    <w:rsid w:val="00BE0252"/>
    <w:rsid w:val="00BE0E5A"/>
    <w:rsid w:val="00BE1830"/>
    <w:rsid w:val="00BE1833"/>
    <w:rsid w:val="00BE6BF4"/>
    <w:rsid w:val="00BE7555"/>
    <w:rsid w:val="00BE7E17"/>
    <w:rsid w:val="00BF1BF9"/>
    <w:rsid w:val="00BF1E37"/>
    <w:rsid w:val="00BF21A9"/>
    <w:rsid w:val="00BF21B8"/>
    <w:rsid w:val="00BF2BFD"/>
    <w:rsid w:val="00BF36A9"/>
    <w:rsid w:val="00BF6819"/>
    <w:rsid w:val="00BF78D1"/>
    <w:rsid w:val="00C00185"/>
    <w:rsid w:val="00C00267"/>
    <w:rsid w:val="00C00A75"/>
    <w:rsid w:val="00C0132F"/>
    <w:rsid w:val="00C05796"/>
    <w:rsid w:val="00C06015"/>
    <w:rsid w:val="00C11390"/>
    <w:rsid w:val="00C133CD"/>
    <w:rsid w:val="00C149FD"/>
    <w:rsid w:val="00C1559A"/>
    <w:rsid w:val="00C17579"/>
    <w:rsid w:val="00C200E3"/>
    <w:rsid w:val="00C2059D"/>
    <w:rsid w:val="00C2107F"/>
    <w:rsid w:val="00C211A2"/>
    <w:rsid w:val="00C21909"/>
    <w:rsid w:val="00C21CEA"/>
    <w:rsid w:val="00C24A50"/>
    <w:rsid w:val="00C25EDB"/>
    <w:rsid w:val="00C25EE5"/>
    <w:rsid w:val="00C273D3"/>
    <w:rsid w:val="00C27BE4"/>
    <w:rsid w:val="00C27BF8"/>
    <w:rsid w:val="00C27EEB"/>
    <w:rsid w:val="00C335AA"/>
    <w:rsid w:val="00C33D99"/>
    <w:rsid w:val="00C34F25"/>
    <w:rsid w:val="00C358FC"/>
    <w:rsid w:val="00C36B13"/>
    <w:rsid w:val="00C37042"/>
    <w:rsid w:val="00C401D8"/>
    <w:rsid w:val="00C408CB"/>
    <w:rsid w:val="00C42EDA"/>
    <w:rsid w:val="00C43108"/>
    <w:rsid w:val="00C44C2F"/>
    <w:rsid w:val="00C464F6"/>
    <w:rsid w:val="00C47263"/>
    <w:rsid w:val="00C474B8"/>
    <w:rsid w:val="00C51B6F"/>
    <w:rsid w:val="00C561CC"/>
    <w:rsid w:val="00C60DE3"/>
    <w:rsid w:val="00C615B3"/>
    <w:rsid w:val="00C6172E"/>
    <w:rsid w:val="00C6205B"/>
    <w:rsid w:val="00C62C3D"/>
    <w:rsid w:val="00C62D8E"/>
    <w:rsid w:val="00C6442E"/>
    <w:rsid w:val="00C66CD4"/>
    <w:rsid w:val="00C6717F"/>
    <w:rsid w:val="00C70760"/>
    <w:rsid w:val="00C70E11"/>
    <w:rsid w:val="00C717FF"/>
    <w:rsid w:val="00C7215E"/>
    <w:rsid w:val="00C7293B"/>
    <w:rsid w:val="00C74469"/>
    <w:rsid w:val="00C7670C"/>
    <w:rsid w:val="00C77273"/>
    <w:rsid w:val="00C77C17"/>
    <w:rsid w:val="00C811EA"/>
    <w:rsid w:val="00C81287"/>
    <w:rsid w:val="00C8211D"/>
    <w:rsid w:val="00C82E12"/>
    <w:rsid w:val="00C82E1B"/>
    <w:rsid w:val="00C83396"/>
    <w:rsid w:val="00C84A3B"/>
    <w:rsid w:val="00C84B79"/>
    <w:rsid w:val="00C8593B"/>
    <w:rsid w:val="00C8622E"/>
    <w:rsid w:val="00C90408"/>
    <w:rsid w:val="00C90CCD"/>
    <w:rsid w:val="00C91ED3"/>
    <w:rsid w:val="00C9366C"/>
    <w:rsid w:val="00C937B2"/>
    <w:rsid w:val="00C9472E"/>
    <w:rsid w:val="00C95F7B"/>
    <w:rsid w:val="00CA0263"/>
    <w:rsid w:val="00CA6101"/>
    <w:rsid w:val="00CA68E1"/>
    <w:rsid w:val="00CA6E6A"/>
    <w:rsid w:val="00CB03F4"/>
    <w:rsid w:val="00CB0412"/>
    <w:rsid w:val="00CB1793"/>
    <w:rsid w:val="00CB30D4"/>
    <w:rsid w:val="00CB32DD"/>
    <w:rsid w:val="00CB3886"/>
    <w:rsid w:val="00CB3E1B"/>
    <w:rsid w:val="00CB4085"/>
    <w:rsid w:val="00CB55FD"/>
    <w:rsid w:val="00CB69D9"/>
    <w:rsid w:val="00CB7B9C"/>
    <w:rsid w:val="00CC29EB"/>
    <w:rsid w:val="00CC6FB2"/>
    <w:rsid w:val="00CD280A"/>
    <w:rsid w:val="00CD2FBF"/>
    <w:rsid w:val="00CD437E"/>
    <w:rsid w:val="00CD4851"/>
    <w:rsid w:val="00CD4C02"/>
    <w:rsid w:val="00CD51B4"/>
    <w:rsid w:val="00CD6EEB"/>
    <w:rsid w:val="00CD7577"/>
    <w:rsid w:val="00CE7347"/>
    <w:rsid w:val="00CF0371"/>
    <w:rsid w:val="00CF38B2"/>
    <w:rsid w:val="00CF4942"/>
    <w:rsid w:val="00CF659E"/>
    <w:rsid w:val="00CF6B7C"/>
    <w:rsid w:val="00D00660"/>
    <w:rsid w:val="00D01643"/>
    <w:rsid w:val="00D02F09"/>
    <w:rsid w:val="00D031A1"/>
    <w:rsid w:val="00D03598"/>
    <w:rsid w:val="00D0613F"/>
    <w:rsid w:val="00D07C61"/>
    <w:rsid w:val="00D12993"/>
    <w:rsid w:val="00D12BA9"/>
    <w:rsid w:val="00D169C5"/>
    <w:rsid w:val="00D17206"/>
    <w:rsid w:val="00D206A1"/>
    <w:rsid w:val="00D208A8"/>
    <w:rsid w:val="00D21B0D"/>
    <w:rsid w:val="00D23D7F"/>
    <w:rsid w:val="00D24DD0"/>
    <w:rsid w:val="00D26456"/>
    <w:rsid w:val="00D26B9B"/>
    <w:rsid w:val="00D26D18"/>
    <w:rsid w:val="00D27792"/>
    <w:rsid w:val="00D31248"/>
    <w:rsid w:val="00D31362"/>
    <w:rsid w:val="00D3333C"/>
    <w:rsid w:val="00D360A4"/>
    <w:rsid w:val="00D40638"/>
    <w:rsid w:val="00D4068D"/>
    <w:rsid w:val="00D43138"/>
    <w:rsid w:val="00D43FDD"/>
    <w:rsid w:val="00D450FB"/>
    <w:rsid w:val="00D45485"/>
    <w:rsid w:val="00D457E3"/>
    <w:rsid w:val="00D45B93"/>
    <w:rsid w:val="00D45C1A"/>
    <w:rsid w:val="00D46A4A"/>
    <w:rsid w:val="00D47153"/>
    <w:rsid w:val="00D523CA"/>
    <w:rsid w:val="00D524D0"/>
    <w:rsid w:val="00D5390E"/>
    <w:rsid w:val="00D54325"/>
    <w:rsid w:val="00D54FBF"/>
    <w:rsid w:val="00D554C7"/>
    <w:rsid w:val="00D557AA"/>
    <w:rsid w:val="00D574D2"/>
    <w:rsid w:val="00D57515"/>
    <w:rsid w:val="00D604A1"/>
    <w:rsid w:val="00D611AF"/>
    <w:rsid w:val="00D61AEC"/>
    <w:rsid w:val="00D65310"/>
    <w:rsid w:val="00D65767"/>
    <w:rsid w:val="00D663D3"/>
    <w:rsid w:val="00D66DC7"/>
    <w:rsid w:val="00D72BDD"/>
    <w:rsid w:val="00D73AB5"/>
    <w:rsid w:val="00D73D04"/>
    <w:rsid w:val="00D75651"/>
    <w:rsid w:val="00D75FA6"/>
    <w:rsid w:val="00D7669A"/>
    <w:rsid w:val="00D84165"/>
    <w:rsid w:val="00D84D9C"/>
    <w:rsid w:val="00D85596"/>
    <w:rsid w:val="00D85E86"/>
    <w:rsid w:val="00D86B34"/>
    <w:rsid w:val="00D87176"/>
    <w:rsid w:val="00D91F1A"/>
    <w:rsid w:val="00D93867"/>
    <w:rsid w:val="00D95D0A"/>
    <w:rsid w:val="00D960D4"/>
    <w:rsid w:val="00D96E33"/>
    <w:rsid w:val="00D973FF"/>
    <w:rsid w:val="00DA1D17"/>
    <w:rsid w:val="00DA1E49"/>
    <w:rsid w:val="00DA776F"/>
    <w:rsid w:val="00DB32E0"/>
    <w:rsid w:val="00DB4E15"/>
    <w:rsid w:val="00DB5955"/>
    <w:rsid w:val="00DB71B7"/>
    <w:rsid w:val="00DB7284"/>
    <w:rsid w:val="00DB7FA3"/>
    <w:rsid w:val="00DC1BD4"/>
    <w:rsid w:val="00DC5146"/>
    <w:rsid w:val="00DC6D48"/>
    <w:rsid w:val="00DC7FF3"/>
    <w:rsid w:val="00DD4C7D"/>
    <w:rsid w:val="00DD60FF"/>
    <w:rsid w:val="00DE2CB6"/>
    <w:rsid w:val="00DE3281"/>
    <w:rsid w:val="00DE3E1F"/>
    <w:rsid w:val="00DE45B3"/>
    <w:rsid w:val="00DE5E32"/>
    <w:rsid w:val="00DE5E33"/>
    <w:rsid w:val="00DE5F17"/>
    <w:rsid w:val="00DE756D"/>
    <w:rsid w:val="00DE7D29"/>
    <w:rsid w:val="00DF0191"/>
    <w:rsid w:val="00DF1C41"/>
    <w:rsid w:val="00DF2831"/>
    <w:rsid w:val="00DF356F"/>
    <w:rsid w:val="00DF5A49"/>
    <w:rsid w:val="00E00739"/>
    <w:rsid w:val="00E02458"/>
    <w:rsid w:val="00E045A1"/>
    <w:rsid w:val="00E10855"/>
    <w:rsid w:val="00E10EAF"/>
    <w:rsid w:val="00E11B0C"/>
    <w:rsid w:val="00E132FA"/>
    <w:rsid w:val="00E14BEC"/>
    <w:rsid w:val="00E217BD"/>
    <w:rsid w:val="00E233ED"/>
    <w:rsid w:val="00E23400"/>
    <w:rsid w:val="00E25D69"/>
    <w:rsid w:val="00E265D0"/>
    <w:rsid w:val="00E26F04"/>
    <w:rsid w:val="00E27D67"/>
    <w:rsid w:val="00E3332C"/>
    <w:rsid w:val="00E334DF"/>
    <w:rsid w:val="00E33A84"/>
    <w:rsid w:val="00E340F3"/>
    <w:rsid w:val="00E36009"/>
    <w:rsid w:val="00E371D3"/>
    <w:rsid w:val="00E410C3"/>
    <w:rsid w:val="00E41B76"/>
    <w:rsid w:val="00E427B0"/>
    <w:rsid w:val="00E43829"/>
    <w:rsid w:val="00E45F6F"/>
    <w:rsid w:val="00E45F8C"/>
    <w:rsid w:val="00E45FC3"/>
    <w:rsid w:val="00E46520"/>
    <w:rsid w:val="00E474D0"/>
    <w:rsid w:val="00E50FBD"/>
    <w:rsid w:val="00E515B6"/>
    <w:rsid w:val="00E5389A"/>
    <w:rsid w:val="00E54DA1"/>
    <w:rsid w:val="00E54F99"/>
    <w:rsid w:val="00E565FB"/>
    <w:rsid w:val="00E61783"/>
    <w:rsid w:val="00E638A9"/>
    <w:rsid w:val="00E63AF2"/>
    <w:rsid w:val="00E642B5"/>
    <w:rsid w:val="00E643ED"/>
    <w:rsid w:val="00E64B80"/>
    <w:rsid w:val="00E65A5E"/>
    <w:rsid w:val="00E660AA"/>
    <w:rsid w:val="00E66931"/>
    <w:rsid w:val="00E71CA1"/>
    <w:rsid w:val="00E75084"/>
    <w:rsid w:val="00E75614"/>
    <w:rsid w:val="00E80691"/>
    <w:rsid w:val="00E80952"/>
    <w:rsid w:val="00E812DB"/>
    <w:rsid w:val="00E82F68"/>
    <w:rsid w:val="00E86DA0"/>
    <w:rsid w:val="00E87D26"/>
    <w:rsid w:val="00E90E29"/>
    <w:rsid w:val="00E93216"/>
    <w:rsid w:val="00E94D8F"/>
    <w:rsid w:val="00E959D1"/>
    <w:rsid w:val="00EA0198"/>
    <w:rsid w:val="00EA29A0"/>
    <w:rsid w:val="00EA2DBA"/>
    <w:rsid w:val="00EA364F"/>
    <w:rsid w:val="00EA398B"/>
    <w:rsid w:val="00EA401C"/>
    <w:rsid w:val="00EA545F"/>
    <w:rsid w:val="00EA5DA9"/>
    <w:rsid w:val="00EA6660"/>
    <w:rsid w:val="00EA6CEB"/>
    <w:rsid w:val="00EA7E8C"/>
    <w:rsid w:val="00EB15E0"/>
    <w:rsid w:val="00EB3424"/>
    <w:rsid w:val="00EB3B79"/>
    <w:rsid w:val="00EC00FF"/>
    <w:rsid w:val="00EC466D"/>
    <w:rsid w:val="00EC51DB"/>
    <w:rsid w:val="00EC6488"/>
    <w:rsid w:val="00EC6744"/>
    <w:rsid w:val="00EC729C"/>
    <w:rsid w:val="00EC76CF"/>
    <w:rsid w:val="00ED04FB"/>
    <w:rsid w:val="00ED1B2C"/>
    <w:rsid w:val="00ED266C"/>
    <w:rsid w:val="00ED27CD"/>
    <w:rsid w:val="00ED2D77"/>
    <w:rsid w:val="00ED68E6"/>
    <w:rsid w:val="00ED715D"/>
    <w:rsid w:val="00EE202A"/>
    <w:rsid w:val="00EE368A"/>
    <w:rsid w:val="00EE77E3"/>
    <w:rsid w:val="00EF044F"/>
    <w:rsid w:val="00EF0B85"/>
    <w:rsid w:val="00EF335C"/>
    <w:rsid w:val="00EF5A41"/>
    <w:rsid w:val="00EF5FA0"/>
    <w:rsid w:val="00EF7376"/>
    <w:rsid w:val="00EF7689"/>
    <w:rsid w:val="00F009E7"/>
    <w:rsid w:val="00F03E8C"/>
    <w:rsid w:val="00F04252"/>
    <w:rsid w:val="00F05970"/>
    <w:rsid w:val="00F062AD"/>
    <w:rsid w:val="00F06CE8"/>
    <w:rsid w:val="00F106D3"/>
    <w:rsid w:val="00F124CE"/>
    <w:rsid w:val="00F132F7"/>
    <w:rsid w:val="00F133C7"/>
    <w:rsid w:val="00F13841"/>
    <w:rsid w:val="00F150DB"/>
    <w:rsid w:val="00F21C4F"/>
    <w:rsid w:val="00F228F4"/>
    <w:rsid w:val="00F24830"/>
    <w:rsid w:val="00F27399"/>
    <w:rsid w:val="00F277DD"/>
    <w:rsid w:val="00F31902"/>
    <w:rsid w:val="00F31D99"/>
    <w:rsid w:val="00F33E82"/>
    <w:rsid w:val="00F355B0"/>
    <w:rsid w:val="00F36855"/>
    <w:rsid w:val="00F375A5"/>
    <w:rsid w:val="00F37A39"/>
    <w:rsid w:val="00F40543"/>
    <w:rsid w:val="00F41D76"/>
    <w:rsid w:val="00F4679E"/>
    <w:rsid w:val="00F471D7"/>
    <w:rsid w:val="00F5311D"/>
    <w:rsid w:val="00F53E82"/>
    <w:rsid w:val="00F548B1"/>
    <w:rsid w:val="00F63E6E"/>
    <w:rsid w:val="00F65400"/>
    <w:rsid w:val="00F675A4"/>
    <w:rsid w:val="00F7258C"/>
    <w:rsid w:val="00F736CC"/>
    <w:rsid w:val="00F754AE"/>
    <w:rsid w:val="00F77A48"/>
    <w:rsid w:val="00F80B20"/>
    <w:rsid w:val="00F81D7B"/>
    <w:rsid w:val="00F82FF1"/>
    <w:rsid w:val="00F84A19"/>
    <w:rsid w:val="00F85726"/>
    <w:rsid w:val="00F860BD"/>
    <w:rsid w:val="00F86E54"/>
    <w:rsid w:val="00F87018"/>
    <w:rsid w:val="00F9054E"/>
    <w:rsid w:val="00F92AC0"/>
    <w:rsid w:val="00F93A5E"/>
    <w:rsid w:val="00F93D8A"/>
    <w:rsid w:val="00F95948"/>
    <w:rsid w:val="00FA038F"/>
    <w:rsid w:val="00FA0777"/>
    <w:rsid w:val="00FA0B43"/>
    <w:rsid w:val="00FA1DD5"/>
    <w:rsid w:val="00FA4758"/>
    <w:rsid w:val="00FA4AF6"/>
    <w:rsid w:val="00FA50E5"/>
    <w:rsid w:val="00FA51C2"/>
    <w:rsid w:val="00FA5A45"/>
    <w:rsid w:val="00FA701D"/>
    <w:rsid w:val="00FB2A77"/>
    <w:rsid w:val="00FB31C8"/>
    <w:rsid w:val="00FB3E57"/>
    <w:rsid w:val="00FB6296"/>
    <w:rsid w:val="00FB758F"/>
    <w:rsid w:val="00FC1335"/>
    <w:rsid w:val="00FC593C"/>
    <w:rsid w:val="00FC60A2"/>
    <w:rsid w:val="00FD073B"/>
    <w:rsid w:val="00FD0AE0"/>
    <w:rsid w:val="00FD219B"/>
    <w:rsid w:val="00FD268E"/>
    <w:rsid w:val="00FD5D1E"/>
    <w:rsid w:val="00FD75B3"/>
    <w:rsid w:val="00FE0546"/>
    <w:rsid w:val="00FE06E2"/>
    <w:rsid w:val="00FE295F"/>
    <w:rsid w:val="00FE448B"/>
    <w:rsid w:val="00FE51F7"/>
    <w:rsid w:val="00FE62B0"/>
    <w:rsid w:val="00FE7CFC"/>
    <w:rsid w:val="00FF1055"/>
    <w:rsid w:val="00FF3C89"/>
    <w:rsid w:val="00FF44D4"/>
    <w:rsid w:val="00FF5A3A"/>
    <w:rsid w:val="00FF689A"/>
    <w:rsid w:val="00FF7515"/>
    <w:rsid w:val="05C269FD"/>
    <w:rsid w:val="0D5253E1"/>
    <w:rsid w:val="0E675D10"/>
    <w:rsid w:val="0F827912"/>
    <w:rsid w:val="15225359"/>
    <w:rsid w:val="23562DD2"/>
    <w:rsid w:val="3B1072FB"/>
    <w:rsid w:val="3DF74754"/>
    <w:rsid w:val="50511699"/>
    <w:rsid w:val="505E3ED7"/>
    <w:rsid w:val="57AC4C45"/>
    <w:rsid w:val="5C6B3A68"/>
    <w:rsid w:val="615A6274"/>
    <w:rsid w:val="6FC20FC8"/>
    <w:rsid w:val="74DD5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Emphasis"/>
    <w:basedOn w:val="9"/>
    <w:qFormat/>
    <w:uiPriority w:val="20"/>
    <w:rPr>
      <w:i/>
      <w:iCs/>
    </w:rPr>
  </w:style>
  <w:style w:type="character" w:styleId="12">
    <w:name w:val="Hyperlink"/>
    <w:basedOn w:val="9"/>
    <w:semiHidden/>
    <w:unhideWhenUsed/>
    <w:qFormat/>
    <w:uiPriority w:val="99"/>
    <w:rPr>
      <w:color w:val="0000FF"/>
      <w:u w:val="single"/>
    </w:rPr>
  </w:style>
  <w:style w:type="character" w:customStyle="1" w:styleId="13">
    <w:name w:val="页眉 字符"/>
    <w:basedOn w:val="9"/>
    <w:link w:val="6"/>
    <w:qFormat/>
    <w:uiPriority w:val="99"/>
    <w:rPr>
      <w:sz w:val="18"/>
      <w:szCs w:val="18"/>
    </w:rPr>
  </w:style>
  <w:style w:type="character" w:customStyle="1" w:styleId="14">
    <w:name w:val="页脚 字符"/>
    <w:basedOn w:val="9"/>
    <w:link w:val="5"/>
    <w:qFormat/>
    <w:uiPriority w:val="99"/>
    <w:rPr>
      <w:sz w:val="18"/>
      <w:szCs w:val="18"/>
    </w:rPr>
  </w:style>
  <w:style w:type="paragraph" w:styleId="15">
    <w:name w:val="List Paragraph"/>
    <w:basedOn w:val="1"/>
    <w:qFormat/>
    <w:uiPriority w:val="34"/>
    <w:pPr>
      <w:ind w:firstLine="420" w:firstLineChars="200"/>
    </w:pPr>
    <w:rPr>
      <w:rFonts w:ascii="Times New Roman" w:hAnsi="Times New Roman" w:eastAsia="宋体" w:cs="Times New Roman"/>
      <w:szCs w:val="24"/>
    </w:rPr>
  </w:style>
  <w:style w:type="table" w:customStyle="1" w:styleId="16">
    <w:name w:val="浅色底纹1"/>
    <w:basedOn w:val="8"/>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character" w:customStyle="1" w:styleId="17">
    <w:name w:val="批注框文本 字符"/>
    <w:basedOn w:val="9"/>
    <w:link w:val="4"/>
    <w:semiHidden/>
    <w:qFormat/>
    <w:uiPriority w:val="99"/>
    <w:rPr>
      <w:sz w:val="18"/>
      <w:szCs w:val="18"/>
    </w:rPr>
  </w:style>
  <w:style w:type="character" w:customStyle="1" w:styleId="18">
    <w:name w:val="apple-converted-space"/>
    <w:basedOn w:val="9"/>
    <w:qFormat/>
    <w:uiPriority w:val="0"/>
  </w:style>
  <w:style w:type="table" w:customStyle="1" w:styleId="19">
    <w:name w:val="浅色底纹2"/>
    <w:basedOn w:val="8"/>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paragraph" w:styleId="2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21">
    <w:name w:val="left"/>
    <w:basedOn w:val="9"/>
    <w:qFormat/>
    <w:uiPriority w:val="0"/>
  </w:style>
  <w:style w:type="character" w:customStyle="1" w:styleId="22">
    <w:name w:val="标题 1 字符"/>
    <w:basedOn w:val="9"/>
    <w:link w:val="2"/>
    <w:qFormat/>
    <w:uiPriority w:val="9"/>
    <w:rPr>
      <w:rFonts w:ascii="宋体" w:hAnsi="宋体" w:eastAsia="宋体" w:cs="宋体"/>
      <w:b/>
      <w:bCs/>
      <w:kern w:val="36"/>
      <w:sz w:val="48"/>
      <w:szCs w:val="48"/>
    </w:rPr>
  </w:style>
  <w:style w:type="character" w:customStyle="1" w:styleId="23">
    <w:name w:val="标题 3 字符"/>
    <w:basedOn w:val="9"/>
    <w:link w:val="3"/>
    <w:qFormat/>
    <w:uiPriority w:val="9"/>
    <w:rPr>
      <w:b/>
      <w:bCs/>
      <w:sz w:val="32"/>
      <w:szCs w:val="32"/>
    </w:rPr>
  </w:style>
  <w:style w:type="paragraph" w:customStyle="1" w:styleId="24">
    <w:name w:val="Default"/>
    <w:qFormat/>
    <w:uiPriority w:val="0"/>
    <w:pPr>
      <w:widowControl w:val="0"/>
      <w:autoSpaceDE w:val="0"/>
      <w:autoSpaceDN w:val="0"/>
      <w:adjustRightInd w:val="0"/>
    </w:pPr>
    <w:rPr>
      <w:rFonts w:ascii="Arial" w:hAnsi="Arial" w:cs="Arial" w:eastAsiaTheme="minorEastAsia"/>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BF319C-BC85-4BA0-A609-EB3674D86872}">
  <ds:schemaRefs/>
</ds:datastoreItem>
</file>

<file path=docProps/app.xml><?xml version="1.0" encoding="utf-8"?>
<Properties xmlns="http://schemas.openxmlformats.org/officeDocument/2006/extended-properties" xmlns:vt="http://schemas.openxmlformats.org/officeDocument/2006/docPropsVTypes">
  <Template>Normal</Template>
  <Company>jr</Company>
  <Pages>2</Pages>
  <Words>216</Words>
  <Characters>1234</Characters>
  <Lines>10</Lines>
  <Paragraphs>2</Paragraphs>
  <TotalTime>18</TotalTime>
  <ScaleCrop>false</ScaleCrop>
  <LinksUpToDate>false</LinksUpToDate>
  <CharactersWithSpaces>1448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2020-09-02T09:47:00Z</dcterms:created>
  <dc:creator>匿名用户</dc:creator>
  <cp:lastModifiedBy>4658</cp:lastModifiedBy>
  <dcterms:modified xsi:type="dcterms:W3CDTF">2021-01-21T07:56:12Z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