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3CB" w:rsidRPr="00D343CB" w:rsidRDefault="00D343CB" w:rsidP="00D343CB">
      <w:pPr>
        <w:widowControl/>
        <w:spacing w:before="100" w:beforeAutospacing="1" w:after="100" w:afterAutospacing="1"/>
        <w:jc w:val="center"/>
        <w:outlineLvl w:val="0"/>
        <w:rPr>
          <w:rFonts w:ascii="微软雅黑" w:eastAsia="微软雅黑" w:hAnsi="微软雅黑" w:cs="宋体"/>
          <w:b/>
          <w:bCs/>
          <w:color w:val="000000"/>
          <w:kern w:val="36"/>
          <w:sz w:val="48"/>
          <w:szCs w:val="48"/>
        </w:rPr>
      </w:pPr>
      <w:r w:rsidRPr="00D343CB">
        <w:rPr>
          <w:rFonts w:ascii="微软雅黑" w:eastAsia="微软雅黑" w:hAnsi="微软雅黑" w:cs="宋体" w:hint="eastAsia"/>
          <w:b/>
          <w:bCs/>
          <w:color w:val="000000"/>
          <w:kern w:val="36"/>
          <w:sz w:val="48"/>
          <w:szCs w:val="48"/>
        </w:rPr>
        <w:t>关于公司资产管理计划征收增值税的公告</w:t>
      </w:r>
    </w:p>
    <w:p w:rsidR="00D343CB" w:rsidRPr="00D343CB" w:rsidRDefault="00D343CB" w:rsidP="00D343CB">
      <w:pPr>
        <w:widowControl/>
        <w:spacing w:before="100" w:beforeAutospacing="1" w:after="100" w:afterAutospacing="1"/>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 </w:t>
      </w:r>
    </w:p>
    <w:p w:rsidR="00D343CB" w:rsidRPr="00D343CB" w:rsidRDefault="00D343CB" w:rsidP="00D343CB">
      <w:pPr>
        <w:widowControl/>
        <w:spacing w:before="100" w:beforeAutospacing="1" w:after="100" w:afterAutospacing="1"/>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尊敬的投资者：</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根据财政部、国家税务总局颁布的《关于明确金融、房地产、教育辅助服务等增值税政策的通知》（财税[2016]140 号）、《关于资管产品增值税政策有关问题的补充通知》（财税[2017]2 号）、《关于资管产品增值税有关问题的通知》（财税[2017]56 号）等文件规定，资产管理计划在投资运作过程中发生的增值税应税行为，自 2018 年 1 月 1 日起开始征收增值税，暂适用简易计税方法，按照 3%的税率缴纳增值税，并以管理人作为增值税纳税人，从资产管理计划财产中进行扣付缴纳。</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我司作为管理人，将按增值税法律法规的规定及税务机关的要求计算和缴纳增值税及附加税费。我司将基于客观、准确的原则，结合增值税及附加税费的相关法规，对增值税及附加税</w:t>
      </w:r>
      <w:proofErr w:type="gramStart"/>
      <w:r w:rsidRPr="00D343CB">
        <w:rPr>
          <w:rFonts w:ascii="微软雅黑" w:eastAsia="微软雅黑" w:hAnsi="微软雅黑" w:cs="宋体" w:hint="eastAsia"/>
          <w:color w:val="000000"/>
          <w:kern w:val="0"/>
          <w:sz w:val="27"/>
          <w:szCs w:val="27"/>
        </w:rPr>
        <w:t>费设立</w:t>
      </w:r>
      <w:proofErr w:type="gramEnd"/>
      <w:r w:rsidRPr="00D343CB">
        <w:rPr>
          <w:rFonts w:ascii="微软雅黑" w:eastAsia="微软雅黑" w:hAnsi="微软雅黑" w:cs="宋体" w:hint="eastAsia"/>
          <w:color w:val="000000"/>
          <w:kern w:val="0"/>
          <w:sz w:val="27"/>
          <w:szCs w:val="27"/>
        </w:rPr>
        <w:t>合理的估值机制进行核算。</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根据《中华人民共和国证券投资基金法》第八条，基金财产投资的相关税收由基金份额持有人承担，从而可能导致投资者的可分配收益减</w:t>
      </w:r>
      <w:r w:rsidRPr="00D343CB">
        <w:rPr>
          <w:rFonts w:ascii="微软雅黑" w:eastAsia="微软雅黑" w:hAnsi="微软雅黑" w:cs="宋体" w:hint="eastAsia"/>
          <w:color w:val="000000"/>
          <w:kern w:val="0"/>
          <w:sz w:val="27"/>
          <w:szCs w:val="27"/>
        </w:rPr>
        <w:lastRenderedPageBreak/>
        <w:t>少。对于持有存量产品的投资者，其投资产品取得的收益从2018年1月1日起，亦可能有所下降。</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若未来相关法律法规、税收政策发生变更，则管理人有权根据届时生效的相关法律法规的要求进行调整并履行代扣代缴义务，该等变更亦可能对资产管理计划的收益水平产生不利影响。</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如相关资产管理计划说明书或风险揭示书或资产管理计划合同中的相关条款与上述公告信息不一致的，相应内容以上述公告为准。</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特此公告，请知悉。</w:t>
      </w:r>
    </w:p>
    <w:p w:rsidR="00D343CB" w:rsidRPr="00D343CB" w:rsidRDefault="00D343CB" w:rsidP="00D343CB">
      <w:pPr>
        <w:widowControl/>
        <w:spacing w:before="100" w:beforeAutospacing="1" w:after="100" w:afterAutospacing="1"/>
        <w:ind w:firstLine="420"/>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感谢您一直以来对我们的支持和信赖！</w:t>
      </w:r>
    </w:p>
    <w:p w:rsidR="00D343CB" w:rsidRPr="00D343CB" w:rsidRDefault="00D343CB" w:rsidP="00D343CB">
      <w:pPr>
        <w:widowControl/>
        <w:spacing w:before="100" w:beforeAutospacing="1" w:after="100" w:afterAutospacing="1"/>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 </w:t>
      </w:r>
    </w:p>
    <w:p w:rsidR="00D343CB" w:rsidRPr="00D343CB" w:rsidRDefault="00D343CB" w:rsidP="00D343CB">
      <w:pPr>
        <w:widowControl/>
        <w:spacing w:before="100" w:beforeAutospacing="1" w:after="100" w:afterAutospacing="1"/>
        <w:jc w:val="lef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 </w:t>
      </w:r>
    </w:p>
    <w:p w:rsidR="00D343CB" w:rsidRPr="00D343CB" w:rsidRDefault="00D343CB" w:rsidP="00D343CB">
      <w:pPr>
        <w:widowControl/>
        <w:spacing w:before="100" w:beforeAutospacing="1" w:after="100" w:afterAutospacing="1"/>
        <w:jc w:val="righ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东兴期货有限责任公司</w:t>
      </w:r>
    </w:p>
    <w:p w:rsidR="00D343CB" w:rsidRPr="00D343CB" w:rsidRDefault="00D343CB" w:rsidP="00D343CB">
      <w:pPr>
        <w:widowControl/>
        <w:spacing w:before="100" w:beforeAutospacing="1" w:after="100" w:afterAutospacing="1"/>
        <w:jc w:val="right"/>
        <w:rPr>
          <w:rFonts w:ascii="微软雅黑" w:eastAsia="微软雅黑" w:hAnsi="微软雅黑" w:cs="宋体" w:hint="eastAsia"/>
          <w:color w:val="000000"/>
          <w:kern w:val="0"/>
          <w:sz w:val="27"/>
          <w:szCs w:val="27"/>
        </w:rPr>
      </w:pPr>
      <w:r w:rsidRPr="00D343CB">
        <w:rPr>
          <w:rFonts w:ascii="微软雅黑" w:eastAsia="微软雅黑" w:hAnsi="微软雅黑" w:cs="宋体" w:hint="eastAsia"/>
          <w:color w:val="000000"/>
          <w:kern w:val="0"/>
          <w:sz w:val="27"/>
          <w:szCs w:val="27"/>
        </w:rPr>
        <w:t>2017 年 12 月29 日</w:t>
      </w:r>
    </w:p>
    <w:p w:rsidR="00267592" w:rsidRPr="00D343CB" w:rsidRDefault="00267592">
      <w:bookmarkStart w:id="0" w:name="_GoBack"/>
      <w:bookmarkEnd w:id="0"/>
    </w:p>
    <w:sectPr w:rsidR="00267592" w:rsidRPr="00D343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274"/>
    <w:rsid w:val="00267592"/>
    <w:rsid w:val="003E3274"/>
    <w:rsid w:val="00D34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343C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343CB"/>
    <w:rPr>
      <w:rFonts w:ascii="宋体" w:eastAsia="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D343C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343CB"/>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082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100</Words>
  <Characters>570</Characters>
  <Application>Microsoft Office Word</Application>
  <DocSecurity>0</DocSecurity>
  <Lines>4</Lines>
  <Paragraphs>1</Paragraphs>
  <ScaleCrop>false</ScaleCrop>
  <Company/>
  <LinksUpToDate>false</LinksUpToDate>
  <CharactersWithSpaces>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2021-01-23T07:15:00Z</dcterms:created>
  <dcterms:modified xsi:type="dcterms:W3CDTF">2021-01-23T07:16:00Z</dcterms:modified>
</cp:coreProperties>
</file>