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F72" w:rsidRPr="00DF7F72" w:rsidRDefault="00DF7F72" w:rsidP="00DF7F72">
      <w:pPr>
        <w:widowControl/>
        <w:spacing w:line="450" w:lineRule="atLeast"/>
        <w:jc w:val="center"/>
        <w:rPr>
          <w:rFonts w:ascii="微软雅黑" w:eastAsia="微软雅黑" w:hAnsi="微软雅黑" w:cs="宋体"/>
          <w:color w:val="08589D"/>
          <w:kern w:val="0"/>
          <w:sz w:val="30"/>
          <w:szCs w:val="30"/>
        </w:rPr>
      </w:pPr>
      <w:r w:rsidRPr="00DF7F72">
        <w:rPr>
          <w:rFonts w:ascii="微软雅黑" w:eastAsia="微软雅黑" w:hAnsi="微软雅黑" w:cs="宋体" w:hint="eastAsia"/>
          <w:color w:val="08589D"/>
          <w:kern w:val="0"/>
          <w:sz w:val="30"/>
          <w:szCs w:val="30"/>
        </w:rPr>
        <w:t>东兴期货-固元五号集合资产管理计划资产管理合同变更的说明</w:t>
      </w:r>
    </w:p>
    <w:p w:rsidR="00DF7F72" w:rsidRPr="00DF7F72" w:rsidRDefault="00DF7F72" w:rsidP="00DF7F72">
      <w:pPr>
        <w:widowControl/>
        <w:spacing w:line="450" w:lineRule="atLeast"/>
        <w:jc w:val="left"/>
        <w:rPr>
          <w:rFonts w:ascii="微软雅黑" w:eastAsia="微软雅黑" w:hAnsi="微软雅黑" w:cs="宋体" w:hint="eastAsia"/>
          <w:color w:val="08589D"/>
          <w:kern w:val="0"/>
          <w:sz w:val="18"/>
          <w:szCs w:val="18"/>
        </w:rPr>
      </w:pPr>
      <w:hyperlink r:id="rId5" w:history="1">
        <w:r w:rsidRPr="00DF7F72">
          <w:rPr>
            <w:rFonts w:ascii="微软雅黑" w:eastAsia="微软雅黑" w:hAnsi="微软雅黑" w:cs="宋体" w:hint="eastAsia"/>
            <w:color w:val="5D5E5E"/>
            <w:kern w:val="0"/>
            <w:sz w:val="18"/>
            <w:szCs w:val="18"/>
          </w:rPr>
          <w:t>首页</w:t>
        </w:r>
      </w:hyperlink>
      <w:r w:rsidRPr="00DF7F72">
        <w:rPr>
          <w:rFonts w:ascii="微软雅黑" w:eastAsia="微软雅黑" w:hAnsi="微软雅黑" w:cs="宋体" w:hint="eastAsia"/>
          <w:color w:val="08589D"/>
          <w:kern w:val="0"/>
          <w:sz w:val="18"/>
          <w:szCs w:val="18"/>
        </w:rPr>
        <w:t>&gt;&gt; </w:t>
      </w:r>
      <w:hyperlink r:id="rId6" w:history="1">
        <w:r w:rsidRPr="00DF7F72">
          <w:rPr>
            <w:rFonts w:ascii="微软雅黑" w:eastAsia="微软雅黑" w:hAnsi="微软雅黑" w:cs="宋体" w:hint="eastAsia"/>
            <w:color w:val="5D5E5E"/>
            <w:kern w:val="0"/>
            <w:sz w:val="18"/>
            <w:szCs w:val="18"/>
          </w:rPr>
          <w:t>资讯中心</w:t>
        </w:r>
      </w:hyperlink>
      <w:r w:rsidRPr="00DF7F72">
        <w:rPr>
          <w:rFonts w:ascii="微软雅黑" w:eastAsia="微软雅黑" w:hAnsi="微软雅黑" w:cs="宋体" w:hint="eastAsia"/>
          <w:color w:val="08589D"/>
          <w:kern w:val="0"/>
          <w:sz w:val="18"/>
          <w:szCs w:val="18"/>
        </w:rPr>
        <w:t>&gt;&gt; </w:t>
      </w:r>
      <w:hyperlink r:id="rId7" w:history="1">
        <w:r w:rsidRPr="00DF7F72">
          <w:rPr>
            <w:rFonts w:ascii="微软雅黑" w:eastAsia="微软雅黑" w:hAnsi="微软雅黑" w:cs="宋体" w:hint="eastAsia"/>
            <w:color w:val="5D5E5E"/>
            <w:kern w:val="0"/>
            <w:sz w:val="18"/>
            <w:szCs w:val="18"/>
          </w:rPr>
          <w:t>资产管理业务</w:t>
        </w:r>
      </w:hyperlink>
    </w:p>
    <w:p w:rsidR="00DF7F72" w:rsidRPr="00DF7F72" w:rsidRDefault="00DF7F72" w:rsidP="00DF7F72">
      <w:pPr>
        <w:widowControl/>
        <w:shd w:val="clear" w:color="auto" w:fill="DFF2FE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DF7F72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2020-10-13 </w:t>
      </w:r>
      <w:hyperlink r:id="rId8" w:history="1">
        <w:r w:rsidRPr="00DF7F72">
          <w:rPr>
            <w:rFonts w:ascii="微软雅黑" w:eastAsia="微软雅黑" w:hAnsi="微软雅黑" w:cs="宋体" w:hint="eastAsia"/>
            <w:color w:val="000000"/>
            <w:kern w:val="0"/>
            <w:sz w:val="27"/>
            <w:szCs w:val="27"/>
            <w:u w:val="single"/>
          </w:rPr>
          <w:t>作者：资产管理部</w:t>
        </w:r>
      </w:hyperlink>
      <w:r w:rsidRPr="00DF7F72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来源：东兴期货 浏览次数：966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我公司作为“东兴期货-固元五号集合资产管理计划”的管理人，经与资产托管人协商一致，根据委托人、管理人和托管人已签订的《东兴期货-固元五号集合资产管理计划资产管理合同》</w:t>
      </w:r>
      <w:bookmarkStart w:id="0" w:name="_Toc7275737"/>
      <w:bookmarkEnd w:id="0"/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（以下简称“原合同”）及《证券期货经营机构私募资产管理计划运作管理规定》，对原合同进行以下变更：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 “十九、越权交易的界定”“（三）托管人对管理人的投资监督”中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原表述为：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“投资限制：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（2）集合资产管理计划投资于同一资产（单只股票、单只基金、单只债券）的资金，不得超过该计划资产净值的25%，银行活期存款、国债、中央银行票据、政策性金融债、地方政府债等中国证监会认可的投资品种除外；”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修改后的表述为：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“投资限制：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（2）集合资产管理计划投资于同一资产的资金，不得超过该计划资产净值的25%，银行活期存款、国债、中央银行票据、政策性金融债、地方政府债等中国证监会认可的投资品种除外；”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特此说明。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320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资产管理人：东兴期货有限责任公司</w:t>
      </w:r>
    </w:p>
    <w:p w:rsidR="00DF7F72" w:rsidRPr="00DF7F72" w:rsidRDefault="00DF7F72" w:rsidP="00DF7F72">
      <w:pPr>
        <w:widowControl/>
        <w:spacing w:before="100" w:beforeAutospacing="1" w:after="100" w:afterAutospacing="1" w:line="375" w:lineRule="atLeast"/>
        <w:ind w:firstLine="480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F7F72">
        <w:rPr>
          <w:rFonts w:ascii="宋体" w:eastAsia="宋体" w:hAnsi="宋体" w:cs="宋体"/>
          <w:color w:val="000000"/>
          <w:kern w:val="0"/>
          <w:sz w:val="24"/>
          <w:szCs w:val="24"/>
        </w:rPr>
        <w:t>                                                         2020年10月13日</w:t>
      </w:r>
    </w:p>
    <w:p w:rsidR="00BE7EC6" w:rsidRDefault="00BE7EC6">
      <w:bookmarkStart w:id="1" w:name="_GoBack"/>
      <w:bookmarkEnd w:id="1"/>
    </w:p>
    <w:sectPr w:rsidR="00BE7E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692"/>
    <w:rsid w:val="000A1692"/>
    <w:rsid w:val="00BE7EC6"/>
    <w:rsid w:val="00D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F7F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F7F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2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970AF"/>
            <w:right w:val="none" w:sz="0" w:space="0" w:color="auto"/>
          </w:divBdr>
        </w:div>
        <w:div w:id="17255639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3884">
          <w:marLeft w:val="0"/>
          <w:marRight w:val="0"/>
          <w:marTop w:val="6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xqh.net/blog.aspx?id=%E8%B5%84%E4%BA%A7%E7%AE%A1%E7%90%86%E9%83%A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xqh.net/News/Default.aspx?id=15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xqh.net/News/Default.aspx?id=61" TargetMode="External"/><Relationship Id="rId5" Type="http://schemas.openxmlformats.org/officeDocument/2006/relationships/hyperlink" Target="http://www.dxqh.net/Default.asp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2021-01-23T06:46:00Z</dcterms:created>
  <dcterms:modified xsi:type="dcterms:W3CDTF">2021-01-23T06:46:00Z</dcterms:modified>
</cp:coreProperties>
</file>