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12F" w:rsidRDefault="00C1012F" w:rsidP="00C1012F">
      <w:pPr>
        <w:pStyle w:val="a3"/>
        <w:shd w:val="clear" w:color="auto" w:fill="FFFFFF"/>
        <w:spacing w:before="0" w:beforeAutospacing="0" w:after="0" w:afterAutospacing="0" w:line="354" w:lineRule="atLeast"/>
        <w:ind w:right="43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格林大华灵感一号资产管理计划申购、赎回公告</w:t>
      </w:r>
    </w:p>
    <w:p w:rsidR="00C1012F" w:rsidRDefault="00C1012F" w:rsidP="00C1012F">
      <w:pPr>
        <w:pStyle w:val="a3"/>
        <w:shd w:val="clear" w:color="auto" w:fill="FFFFFF"/>
        <w:spacing w:before="0" w:beforeAutospacing="0" w:after="0" w:afterAutospacing="0" w:line="253" w:lineRule="atLeas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C1012F" w:rsidRDefault="00C1012F" w:rsidP="00C1012F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灵感一号资产管理计划成立于2017年9月13日，根据《格林大华灵感一号资产管理计划资产管理合同》第十章“资产管理计划的参与、转让、退出和非交易过户”第（十八）条“参与和退出的开放日和时间”的约定：“本资产管理计划自成立之日起的3个自然月为封闭期，封闭期内不开放申购赎回，也不接受违约退出。本资产管理计划自成立之日起3个自然月后的开放日为【第4个自然月及其后每3个自然月的首3个工作日为开放日，开放申购赎回】，申购赎回需提前10个工作日预约。”经资产管理人审慎研究决定，格林大华灵感一号资产管理计划于2019年7月1日至3日开放申购赎回。本次开放不收取申购费和赎回费。</w:t>
      </w:r>
    </w:p>
    <w:p w:rsidR="00C1012F" w:rsidRDefault="00C1012F" w:rsidP="00C1012F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C1012F" w:rsidRDefault="00C1012F" w:rsidP="00C1012F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C1012F" w:rsidRDefault="00C1012F" w:rsidP="00C1012F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9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二〇一九年六月二十八日</w:t>
      </w:r>
    </w:p>
    <w:p w:rsidR="004D78DB" w:rsidRDefault="004D78DB">
      <w:bookmarkStart w:id="0" w:name="_GoBack"/>
      <w:bookmarkEnd w:id="0"/>
    </w:p>
    <w:sectPr w:rsidR="004D7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41C"/>
    <w:rsid w:val="004D78DB"/>
    <w:rsid w:val="00C1012F"/>
    <w:rsid w:val="00E9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0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0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52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2021-02-01T03:06:00Z</dcterms:created>
  <dcterms:modified xsi:type="dcterms:W3CDTF">2021-02-01T03:06:00Z</dcterms:modified>
</cp:coreProperties>
</file>