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A1A" w:rsidRDefault="00C64A1A" w:rsidP="00C64A1A">
      <w:pPr>
        <w:pStyle w:val="a3"/>
        <w:shd w:val="clear" w:color="auto" w:fill="FFFFFF"/>
        <w:spacing w:before="0" w:beforeAutospacing="0" w:after="0" w:afterAutospacing="0" w:line="374" w:lineRule="atLeast"/>
        <w:ind w:right="-20"/>
        <w:jc w:val="center"/>
        <w:rPr>
          <w:color w:val="4C4C4C"/>
        </w:rPr>
      </w:pPr>
      <w:r>
        <w:rPr>
          <w:rFonts w:hint="eastAsia"/>
          <w:b/>
          <w:bCs/>
          <w:color w:val="4C4C4C"/>
          <w:sz w:val="28"/>
          <w:szCs w:val="28"/>
          <w:bdr w:val="none" w:sz="0" w:space="0" w:color="auto" w:frame="1"/>
        </w:rPr>
        <w:t>格林大华千般六号资产管理计划分红公告</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ascii="Arial" w:hAnsi="Arial" w:cs="Arial"/>
          <w:color w:val="555555"/>
          <w:sz w:val="18"/>
          <w:szCs w:val="18"/>
          <w:bdr w:val="none" w:sz="0" w:space="0" w:color="auto" w:frame="1"/>
        </w:rPr>
        <w:t> </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格林大华千般六号资产管理计划（以下简称本计划）于</w:t>
      </w:r>
      <w:r>
        <w:rPr>
          <w:rFonts w:ascii="Calibri" w:hAnsi="Calibri"/>
          <w:color w:val="4C4C4C"/>
          <w:sz w:val="21"/>
          <w:szCs w:val="21"/>
          <w:bdr w:val="none" w:sz="0" w:space="0" w:color="auto" w:frame="1"/>
        </w:rPr>
        <w:t>2016</w:t>
      </w:r>
      <w:r>
        <w:rPr>
          <w:rFonts w:hint="eastAsia"/>
          <w:color w:val="4C4C4C"/>
          <w:sz w:val="21"/>
          <w:szCs w:val="21"/>
          <w:bdr w:val="none" w:sz="0" w:space="0" w:color="auto" w:frame="1"/>
        </w:rPr>
        <w:t>年</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12</w:t>
      </w:r>
      <w:r>
        <w:rPr>
          <w:rFonts w:hint="eastAsia"/>
          <w:color w:val="4C4C4C"/>
          <w:sz w:val="21"/>
          <w:szCs w:val="21"/>
          <w:bdr w:val="none" w:sz="0" w:space="0" w:color="auto" w:frame="1"/>
        </w:rPr>
        <w:t>日成立。根据《格林大华千般六号资产管理计划资产管理合同》的约定，“本资产管理计划自成立之日起，每个自然季首月（即</w:t>
      </w:r>
      <w:r>
        <w:rPr>
          <w:rFonts w:ascii="Calibri" w:hAnsi="Calibri"/>
          <w:color w:val="4C4C4C"/>
          <w:sz w:val="21"/>
          <w:szCs w:val="21"/>
          <w:bdr w:val="none" w:sz="0" w:space="0" w:color="auto" w:frame="1"/>
        </w:rPr>
        <w:t>1</w:t>
      </w:r>
      <w:r>
        <w:rPr>
          <w:rFonts w:hint="eastAsia"/>
          <w:color w:val="4C4C4C"/>
          <w:sz w:val="21"/>
          <w:szCs w:val="21"/>
          <w:bdr w:val="none" w:sz="0" w:space="0" w:color="auto" w:frame="1"/>
        </w:rPr>
        <w:t>月、</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7</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月）前</w:t>
      </w:r>
      <w:r>
        <w:rPr>
          <w:rFonts w:ascii="Calibri" w:hAnsi="Calibri"/>
          <w:color w:val="4C4C4C"/>
          <w:sz w:val="21"/>
          <w:szCs w:val="21"/>
          <w:bdr w:val="none" w:sz="0" w:space="0" w:color="auto" w:frame="1"/>
        </w:rPr>
        <w:t>5</w:t>
      </w:r>
      <w:r>
        <w:rPr>
          <w:rFonts w:hint="eastAsia"/>
          <w:color w:val="4C4C4C"/>
          <w:sz w:val="21"/>
          <w:szCs w:val="21"/>
          <w:bdr w:val="none" w:sz="0" w:space="0" w:color="auto" w:frame="1"/>
        </w:rPr>
        <w:t>个工作日（遇法定节假日顺延）对优先级份额进行基准收益分配。”</w:t>
      </w:r>
      <w:r>
        <w:rPr>
          <w:rFonts w:hint="eastAsia"/>
          <w:color w:val="4C4C4C"/>
        </w:rPr>
        <w:t> “</w:t>
      </w:r>
      <w:r>
        <w:rPr>
          <w:rFonts w:hint="eastAsia"/>
          <w:color w:val="4C4C4C"/>
          <w:sz w:val="21"/>
          <w:szCs w:val="21"/>
          <w:bdr w:val="none" w:sz="0" w:space="0" w:color="auto" w:frame="1"/>
        </w:rPr>
        <w:t>资产管理计划收益分配基准日的份额净值减去每单位份额收益分配金额后不能低于面值。”本计划管理人决定以本计划截止</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日的可分配收益为基准，在份额净值符合合同约定的条件下，向本计划优先级委托人进行收益分配。现公告如下：</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一、收益分配方案</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向优先级份额分配预期收益。</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二、收益分配对象</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分红登记日登记在册的本计划优先级份额持有人。</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三、收益分配时间</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（一）分红基准日：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（二）分红登记日、除权日：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6</w:t>
      </w:r>
      <w:r>
        <w:rPr>
          <w:rFonts w:hint="eastAsia"/>
          <w:color w:val="4C4C4C"/>
          <w:sz w:val="21"/>
          <w:szCs w:val="21"/>
          <w:bdr w:val="none" w:sz="0" w:space="0" w:color="auto" w:frame="1"/>
        </w:rPr>
        <w:t>日</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（二）现金红利发放日：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四、收益分配方式</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本计划的收益分配采用现金红利方式。其现金红利将于</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4</w:t>
      </w:r>
      <w:r>
        <w:rPr>
          <w:rFonts w:hint="eastAsia"/>
          <w:color w:val="4C4C4C"/>
          <w:sz w:val="21"/>
          <w:szCs w:val="21"/>
          <w:bdr w:val="none" w:sz="0" w:space="0" w:color="auto" w:frame="1"/>
        </w:rPr>
        <w:t>月</w:t>
      </w:r>
      <w:r>
        <w:rPr>
          <w:rFonts w:ascii="Calibri" w:hAnsi="Calibri"/>
          <w:color w:val="4C4C4C"/>
          <w:sz w:val="21"/>
          <w:szCs w:val="21"/>
          <w:bdr w:val="none" w:sz="0" w:space="0" w:color="auto" w:frame="1"/>
        </w:rPr>
        <w:t>10</w:t>
      </w:r>
      <w:r>
        <w:rPr>
          <w:rFonts w:hint="eastAsia"/>
          <w:color w:val="4C4C4C"/>
          <w:sz w:val="21"/>
          <w:szCs w:val="21"/>
          <w:bdr w:val="none" w:sz="0" w:space="0" w:color="auto" w:frame="1"/>
        </w:rPr>
        <w:t>日自本计划托管账户划出。</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五、如果本计划收益分配基准日（</w:t>
      </w:r>
      <w:r>
        <w:rPr>
          <w:rFonts w:ascii="Calibri" w:hAnsi="Calibri"/>
          <w:color w:val="4C4C4C"/>
          <w:sz w:val="21"/>
          <w:szCs w:val="21"/>
          <w:bdr w:val="none" w:sz="0" w:space="0" w:color="auto" w:frame="1"/>
        </w:rPr>
        <w:t>2017</w:t>
      </w:r>
      <w:r>
        <w:rPr>
          <w:rFonts w:hint="eastAsia"/>
          <w:color w:val="4C4C4C"/>
          <w:sz w:val="21"/>
          <w:szCs w:val="21"/>
          <w:bdr w:val="none" w:sz="0" w:space="0" w:color="auto" w:frame="1"/>
        </w:rPr>
        <w:t>年</w:t>
      </w:r>
      <w:r>
        <w:rPr>
          <w:rFonts w:ascii="Calibri" w:hAnsi="Calibri"/>
          <w:color w:val="4C4C4C"/>
          <w:sz w:val="21"/>
          <w:szCs w:val="21"/>
          <w:bdr w:val="none" w:sz="0" w:space="0" w:color="auto" w:frame="1"/>
        </w:rPr>
        <w:t>3</w:t>
      </w:r>
      <w:r>
        <w:rPr>
          <w:rFonts w:hint="eastAsia"/>
          <w:color w:val="4C4C4C"/>
          <w:sz w:val="21"/>
          <w:szCs w:val="21"/>
          <w:bdr w:val="none" w:sz="0" w:space="0" w:color="auto" w:frame="1"/>
        </w:rPr>
        <w:t>月</w:t>
      </w:r>
      <w:r>
        <w:rPr>
          <w:rFonts w:ascii="Calibri" w:hAnsi="Calibri"/>
          <w:color w:val="4C4C4C"/>
          <w:sz w:val="21"/>
          <w:szCs w:val="21"/>
          <w:bdr w:val="none" w:sz="0" w:space="0" w:color="auto" w:frame="1"/>
        </w:rPr>
        <w:t>31</w:t>
      </w:r>
      <w:r>
        <w:rPr>
          <w:rFonts w:hint="eastAsia"/>
          <w:color w:val="4C4C4C"/>
          <w:sz w:val="21"/>
          <w:szCs w:val="21"/>
          <w:bdr w:val="none" w:sz="0" w:space="0" w:color="auto" w:frame="1"/>
        </w:rPr>
        <w:t>日）的份额净值减去每单位份额收益分配金额后低于面值，则不向本计划优先委托人进行收益分配。</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六、咨询办法</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格林大华期货有限公司客户服务热线：</w:t>
      </w:r>
      <w:r>
        <w:rPr>
          <w:rFonts w:ascii="Calibri" w:hAnsi="Calibri"/>
          <w:color w:val="4C4C4C"/>
          <w:sz w:val="21"/>
          <w:szCs w:val="21"/>
          <w:bdr w:val="none" w:sz="0" w:space="0" w:color="auto" w:frame="1"/>
        </w:rPr>
        <w:t>400-653-7777</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格林大华期货有限公司网站：</w:t>
      </w:r>
      <w:r>
        <w:rPr>
          <w:rFonts w:ascii="Calibri" w:hAnsi="Calibri"/>
          <w:color w:val="4C4C4C"/>
          <w:sz w:val="21"/>
          <w:szCs w:val="21"/>
          <w:bdr w:val="none" w:sz="0" w:space="0" w:color="auto" w:frame="1"/>
        </w:rPr>
        <w:t>www.gldhqh.com.cn</w:t>
      </w:r>
    </w:p>
    <w:p w:rsidR="00C64A1A" w:rsidRDefault="00C64A1A" w:rsidP="00C64A1A">
      <w:pPr>
        <w:pStyle w:val="a3"/>
        <w:shd w:val="clear" w:color="auto" w:fill="FFFFFF"/>
        <w:spacing w:before="0" w:beforeAutospacing="0" w:after="0" w:afterAutospacing="0" w:line="413" w:lineRule="atLeast"/>
        <w:ind w:right="-87" w:firstLine="480"/>
        <w:rPr>
          <w:rFonts w:hint="eastAsia"/>
          <w:color w:val="4C4C4C"/>
        </w:rPr>
      </w:pPr>
      <w:r>
        <w:rPr>
          <w:rFonts w:hint="eastAsia"/>
          <w:color w:val="4C4C4C"/>
          <w:sz w:val="21"/>
          <w:szCs w:val="21"/>
          <w:bdr w:val="none" w:sz="0" w:space="0" w:color="auto" w:frame="1"/>
        </w:rPr>
        <w:t>特此公告。</w:t>
      </w:r>
    </w:p>
    <w:p w:rsidR="00C64A1A" w:rsidRDefault="00C64A1A" w:rsidP="00C64A1A">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C64A1A" w:rsidRDefault="00C64A1A" w:rsidP="00C64A1A">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C64A1A" w:rsidRDefault="00C64A1A" w:rsidP="00C64A1A">
      <w:pPr>
        <w:pStyle w:val="a3"/>
        <w:shd w:val="clear" w:color="auto" w:fill="FFFFFF"/>
        <w:spacing w:before="0" w:beforeAutospacing="0" w:after="0" w:afterAutospacing="0" w:line="413" w:lineRule="atLeast"/>
        <w:ind w:right="-87" w:firstLine="4800"/>
        <w:rPr>
          <w:rFonts w:hint="eastAsia"/>
          <w:color w:val="4C4C4C"/>
        </w:rPr>
      </w:pPr>
      <w:r>
        <w:rPr>
          <w:rFonts w:ascii="Calibri" w:hAnsi="Calibri"/>
          <w:color w:val="4C4C4C"/>
          <w:sz w:val="21"/>
          <w:szCs w:val="21"/>
          <w:bdr w:val="none" w:sz="0" w:space="0" w:color="auto" w:frame="1"/>
        </w:rPr>
        <w:t> </w:t>
      </w:r>
    </w:p>
    <w:p w:rsidR="00C64A1A" w:rsidRDefault="00C64A1A" w:rsidP="00C64A1A">
      <w:pPr>
        <w:pStyle w:val="a3"/>
        <w:shd w:val="clear" w:color="auto" w:fill="FFFFFF"/>
        <w:spacing w:before="0" w:beforeAutospacing="0" w:after="0" w:afterAutospacing="0" w:line="413" w:lineRule="atLeast"/>
        <w:ind w:right="-87" w:firstLine="5160"/>
        <w:rPr>
          <w:rFonts w:hint="eastAsia"/>
          <w:color w:val="4C4C4C"/>
        </w:rPr>
      </w:pPr>
      <w:r>
        <w:rPr>
          <w:rFonts w:hint="eastAsia"/>
          <w:color w:val="4C4C4C"/>
          <w:sz w:val="21"/>
          <w:szCs w:val="21"/>
          <w:bdr w:val="none" w:sz="0" w:space="0" w:color="auto" w:frame="1"/>
        </w:rPr>
        <w:t>格林大华期货有限公司</w:t>
      </w:r>
    </w:p>
    <w:p w:rsidR="00C64A1A" w:rsidRDefault="00C64A1A" w:rsidP="00C64A1A">
      <w:pPr>
        <w:pStyle w:val="a3"/>
        <w:shd w:val="clear" w:color="auto" w:fill="FFFFFF"/>
        <w:spacing w:before="0" w:beforeAutospacing="0" w:after="0" w:afterAutospacing="0" w:line="413" w:lineRule="atLeast"/>
        <w:ind w:right="-87" w:firstLine="5040"/>
        <w:rPr>
          <w:rFonts w:hint="eastAsia"/>
          <w:color w:val="4C4C4C"/>
        </w:rPr>
      </w:pPr>
      <w:r>
        <w:rPr>
          <w:rFonts w:hint="eastAsia"/>
          <w:color w:val="4C4C4C"/>
          <w:sz w:val="21"/>
          <w:szCs w:val="21"/>
          <w:bdr w:val="none" w:sz="0" w:space="0" w:color="auto" w:frame="1"/>
        </w:rPr>
        <w:t>二〇一七年三月二十八日</w:t>
      </w:r>
    </w:p>
    <w:p w:rsidR="00AA5C03" w:rsidRDefault="00AA5C03">
      <w:bookmarkStart w:id="0" w:name="_GoBack"/>
      <w:bookmarkEnd w:id="0"/>
    </w:p>
    <w:sectPr w:rsidR="00AA5C0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763"/>
    <w:rsid w:val="00AA5C03"/>
    <w:rsid w:val="00C17763"/>
    <w:rsid w:val="00C64A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4A1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64A1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29536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93</Words>
  <Characters>535</Characters>
  <Application>Microsoft Office Word</Application>
  <DocSecurity>0</DocSecurity>
  <Lines>4</Lines>
  <Paragraphs>1</Paragraphs>
  <ScaleCrop>false</ScaleCrop>
  <Company/>
  <LinksUpToDate>false</LinksUpToDate>
  <CharactersWithSpaces>627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徐亚慧</dc:creator>
  <cp:keywords/>
  <dc:description/>
  <cp:lastModifiedBy>徐亚慧</cp:lastModifiedBy>
  <cp:revision>2</cp:revision>
  <dcterms:created xsi:type="dcterms:W3CDTF">2021-02-09T05:40:00Z</dcterms:created>
  <dcterms:modified xsi:type="dcterms:W3CDTF">2021-02-09T05:40:00Z</dcterms:modified>
</cp:coreProperties>
</file>