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6D1" w:rsidRPr="008D674B" w:rsidRDefault="004406D1" w:rsidP="004406D1">
      <w:pPr>
        <w:adjustRightInd w:val="0"/>
        <w:snapToGrid w:val="0"/>
        <w:spacing w:beforeLines="50" w:before="156" w:line="240" w:lineRule="atLeast"/>
        <w:jc w:val="center"/>
        <w:rPr>
          <w:rFonts w:ascii="宋体" w:hAnsi="宋体"/>
          <w:b/>
          <w:sz w:val="32"/>
          <w:szCs w:val="32"/>
        </w:rPr>
      </w:pPr>
      <w:r w:rsidRPr="008D674B">
        <w:rPr>
          <w:rFonts w:ascii="宋体" w:hAnsi="宋体" w:hint="eastAsia"/>
          <w:b/>
          <w:sz w:val="32"/>
          <w:szCs w:val="32"/>
        </w:rPr>
        <w:t>宁波金田铜业（集团）股份有限公司</w:t>
      </w:r>
    </w:p>
    <w:p w:rsidR="004406D1" w:rsidRPr="008D674B" w:rsidRDefault="004406D1" w:rsidP="004406D1">
      <w:pPr>
        <w:adjustRightInd w:val="0"/>
        <w:snapToGrid w:val="0"/>
        <w:spacing w:beforeLines="50" w:before="156" w:line="240" w:lineRule="atLeast"/>
        <w:jc w:val="center"/>
        <w:rPr>
          <w:rFonts w:ascii="宋体" w:hAnsi="宋体"/>
          <w:b/>
          <w:sz w:val="32"/>
          <w:szCs w:val="32"/>
        </w:rPr>
      </w:pPr>
      <w:r w:rsidRPr="008D674B">
        <w:rPr>
          <w:rFonts w:ascii="宋体" w:hAnsi="宋体" w:hint="eastAsia"/>
          <w:b/>
          <w:sz w:val="32"/>
          <w:szCs w:val="32"/>
        </w:rPr>
        <w:t>202</w:t>
      </w:r>
      <w:r>
        <w:rPr>
          <w:rFonts w:ascii="宋体" w:hAnsi="宋体" w:hint="eastAsia"/>
          <w:b/>
          <w:sz w:val="32"/>
          <w:szCs w:val="32"/>
        </w:rPr>
        <w:t>1</w:t>
      </w:r>
      <w:r w:rsidRPr="008D674B">
        <w:rPr>
          <w:rFonts w:ascii="宋体" w:hAnsi="宋体" w:hint="eastAsia"/>
          <w:b/>
          <w:sz w:val="32"/>
          <w:szCs w:val="32"/>
        </w:rPr>
        <w:t>年</w:t>
      </w:r>
      <w:r>
        <w:rPr>
          <w:rFonts w:ascii="宋体" w:hAnsi="宋体" w:hint="eastAsia"/>
          <w:b/>
          <w:sz w:val="32"/>
          <w:szCs w:val="32"/>
        </w:rPr>
        <w:t>5</w:t>
      </w:r>
      <w:r w:rsidRPr="008D674B">
        <w:rPr>
          <w:rFonts w:ascii="宋体" w:hAnsi="宋体" w:hint="eastAsia"/>
          <w:b/>
          <w:sz w:val="32"/>
          <w:szCs w:val="32"/>
        </w:rPr>
        <w:t>月投资者关系活动记录表</w:t>
      </w:r>
    </w:p>
    <w:p w:rsidR="00C53883" w:rsidRPr="00542F14" w:rsidRDefault="005E6114">
      <w:pPr>
        <w:adjustRightInd w:val="0"/>
        <w:snapToGrid w:val="0"/>
        <w:spacing w:line="240" w:lineRule="atLeast"/>
        <w:ind w:firstLineChars="2100" w:firstLine="5040"/>
        <w:jc w:val="right"/>
        <w:rPr>
          <w:rFonts w:ascii="仿宋" w:eastAsia="仿宋" w:hAnsi="仿宋"/>
          <w:sz w:val="24"/>
          <w:szCs w:val="24"/>
        </w:rPr>
      </w:pPr>
      <w:r w:rsidRPr="00542F14">
        <w:rPr>
          <w:rFonts w:ascii="仿宋" w:eastAsia="仿宋" w:hAnsi="仿宋" w:hint="eastAsia"/>
          <w:sz w:val="24"/>
          <w:szCs w:val="24"/>
        </w:rPr>
        <w:t>编号</w:t>
      </w:r>
      <w:r w:rsidR="00E507F0" w:rsidRPr="00542F14">
        <w:rPr>
          <w:rFonts w:ascii="仿宋" w:eastAsia="仿宋" w:hAnsi="仿宋" w:hint="eastAsia"/>
          <w:sz w:val="24"/>
          <w:szCs w:val="24"/>
        </w:rPr>
        <w:t>：</w:t>
      </w:r>
      <w:r w:rsidR="005C0369" w:rsidRPr="00542F14">
        <w:rPr>
          <w:rFonts w:ascii="仿宋" w:eastAsia="仿宋" w:hAnsi="仿宋" w:hint="eastAsia"/>
          <w:sz w:val="24"/>
          <w:szCs w:val="24"/>
        </w:rPr>
        <w:t>2021-00</w:t>
      </w:r>
      <w:r w:rsidR="00F51B9A" w:rsidRPr="00542F14">
        <w:rPr>
          <w:rFonts w:ascii="仿宋" w:eastAsia="仿宋" w:hAnsi="仿宋" w:hint="eastAsia"/>
          <w:sz w:val="24"/>
          <w:szCs w:val="24"/>
        </w:rPr>
        <w:t>2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2118"/>
        <w:gridCol w:w="1041"/>
        <w:gridCol w:w="305"/>
        <w:gridCol w:w="2772"/>
      </w:tblGrid>
      <w:tr w:rsidR="00C53883">
        <w:trPr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投资者关系活动类别</w:t>
            </w:r>
          </w:p>
        </w:tc>
        <w:tc>
          <w:tcPr>
            <w:tcW w:w="3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C53883" w:rsidRDefault="005C0369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E507F0">
              <w:rPr>
                <w:rFonts w:ascii="仿宋" w:eastAsia="仿宋" w:hAnsi="仿宋" w:hint="eastAsia"/>
                <w:sz w:val="24"/>
                <w:szCs w:val="24"/>
              </w:rPr>
              <w:t>公司现场接待</w:t>
            </w:r>
          </w:p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□其他场所接待</w:t>
            </w:r>
          </w:p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□定期报告说明会</w:t>
            </w:r>
          </w:p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□其他：</w:t>
            </w:r>
          </w:p>
        </w:tc>
        <w:tc>
          <w:tcPr>
            <w:tcW w:w="30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□电话接待</w:t>
            </w:r>
          </w:p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□公开说明会</w:t>
            </w:r>
          </w:p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□重要公告说明会</w:t>
            </w:r>
          </w:p>
          <w:p w:rsidR="00C53883" w:rsidRDefault="00C53883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53883">
        <w:trPr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参与单位名称及人员姓名</w:t>
            </w:r>
          </w:p>
        </w:tc>
        <w:tc>
          <w:tcPr>
            <w:tcW w:w="6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华泰证券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殷超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张劭文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西南证券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夏健全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浙商证券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李博华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建信养老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姜鑫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永赢基金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石玉山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宁聚投资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徐逸林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兴业基金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谢云腾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太平洋</w:t>
            </w:r>
            <w:r w:rsidR="00372C33">
              <w:rPr>
                <w:rFonts w:ascii="仿宋" w:eastAsia="仿宋" w:hAnsi="仿宋" w:hint="eastAsia"/>
                <w:sz w:val="24"/>
                <w:szCs w:val="24"/>
              </w:rPr>
              <w:t>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张磊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孙然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国信证券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焦芳冉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天风证券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乔敏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9508B5" w:rsidRDefault="009508B5" w:rsidP="009508B5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中银资管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叶志成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泰康资管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任翀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5E6114" w:rsidRDefault="009508B5" w:rsidP="00372C33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9508B5">
              <w:rPr>
                <w:rFonts w:ascii="仿宋" w:eastAsia="仿宋" w:hAnsi="仿宋" w:hint="eastAsia"/>
                <w:sz w:val="24"/>
                <w:szCs w:val="24"/>
              </w:rPr>
              <w:t>中金</w:t>
            </w:r>
            <w:r w:rsidR="00372C33">
              <w:rPr>
                <w:rFonts w:ascii="仿宋" w:eastAsia="仿宋" w:hAnsi="仿宋" w:hint="eastAsia"/>
                <w:sz w:val="24"/>
                <w:szCs w:val="24"/>
              </w:rPr>
              <w:t>公司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，</w:t>
            </w:r>
            <w:r w:rsidRPr="009508B5">
              <w:rPr>
                <w:rFonts w:ascii="仿宋" w:eastAsia="仿宋" w:hAnsi="仿宋" w:hint="eastAsia"/>
                <w:sz w:val="24"/>
                <w:szCs w:val="24"/>
              </w:rPr>
              <w:t>房铎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  <w:r w:rsidR="008838B8">
              <w:rPr>
                <w:rFonts w:ascii="仿宋" w:eastAsia="仿宋" w:hAnsi="仿宋" w:hint="eastAsia"/>
                <w:sz w:val="24"/>
                <w:szCs w:val="24"/>
              </w:rPr>
              <w:t>（详见附件）</w:t>
            </w:r>
          </w:p>
        </w:tc>
      </w:tr>
      <w:tr w:rsidR="00C53883">
        <w:trPr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883" w:rsidRDefault="00E507F0">
            <w:pPr>
              <w:adjustRightInd w:val="0"/>
              <w:snapToGrid w:val="0"/>
              <w:spacing w:line="24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时间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114" w:rsidRDefault="00F51B9A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2021-05</w:t>
            </w:r>
          </w:p>
        </w:tc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地点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883" w:rsidRDefault="00F51B9A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公司会议室</w:t>
            </w:r>
          </w:p>
        </w:tc>
      </w:tr>
      <w:tr w:rsidR="00C53883">
        <w:trPr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3883" w:rsidRDefault="00E507F0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上市公司接待人员姓名</w:t>
            </w:r>
          </w:p>
        </w:tc>
        <w:tc>
          <w:tcPr>
            <w:tcW w:w="6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3883" w:rsidRDefault="00F51B9A" w:rsidP="00372C33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8D674B">
              <w:rPr>
                <w:rFonts w:ascii="仿宋" w:eastAsia="仿宋" w:hAnsi="仿宋"/>
                <w:sz w:val="24"/>
                <w:szCs w:val="24"/>
              </w:rPr>
              <w:t>董事会秘书丁星驰</w:t>
            </w:r>
            <w:r w:rsidRPr="008D674B">
              <w:rPr>
                <w:rFonts w:ascii="仿宋" w:eastAsia="仿宋" w:hAnsi="仿宋" w:hint="eastAsia"/>
                <w:sz w:val="24"/>
                <w:szCs w:val="24"/>
              </w:rPr>
              <w:t>；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助理总裁王红波；</w:t>
            </w:r>
            <w:r w:rsidRPr="008D674B">
              <w:rPr>
                <w:rFonts w:ascii="仿宋" w:eastAsia="仿宋" w:hAnsi="仿宋"/>
                <w:sz w:val="24"/>
                <w:szCs w:val="24"/>
              </w:rPr>
              <w:t>证券事务代表魏驭时</w:t>
            </w:r>
            <w:r w:rsidRPr="008D674B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F51B9A" w:rsidTr="00321C4A">
        <w:trPr>
          <w:jc w:val="center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B9A" w:rsidRPr="004406D1" w:rsidRDefault="00F51B9A" w:rsidP="00426C49">
            <w:pPr>
              <w:adjustRightInd w:val="0"/>
              <w:snapToGrid w:val="0"/>
              <w:spacing w:line="36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406D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投资者关系活动主要内容介绍</w:t>
            </w:r>
            <w:r w:rsidR="00426C49" w:rsidRPr="004406D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：</w:t>
            </w:r>
          </w:p>
          <w:p w:rsidR="00F51B9A" w:rsidRPr="00426C49" w:rsidRDefault="00531E3A" w:rsidP="00426C49">
            <w:pPr>
              <w:adjustRightInd w:val="0"/>
              <w:snapToGrid w:val="0"/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1、公司简介</w:t>
            </w:r>
          </w:p>
          <w:p w:rsidR="00EB16AD" w:rsidRPr="00426C49" w:rsidRDefault="006543E2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公司始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建于1986年，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三十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五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年来始终专注</w:t>
            </w:r>
            <w:r w:rsidR="00EB16AD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主业，主要产品包括铜产品和稀土永磁材料两大类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 w:rsidR="00ED17F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2020年公司铜产品总产量达到138万吨。</w:t>
            </w:r>
          </w:p>
          <w:p w:rsidR="008B50E2" w:rsidRPr="00426C49" w:rsidRDefault="00EB16AD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产业链布局。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公司铜产品</w:t>
            </w: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体系完整，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涵盖铜及铜合金材料领域的主要大类，包括铜棒、铜板带、棒线、铜管、铜线（排）等，并且在多个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细分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领域内进入行业前列；同时，根据产品的关联度，公司有选择地进入下游深加工领域完成产业链延伸，如</w:t>
            </w: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阀门、水表、电磁线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等</w:t>
            </w:r>
            <w:r w:rsidR="008B50E2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。公司已发展为国内铜加工产业链最完整的企业之一。</w:t>
            </w:r>
          </w:p>
          <w:p w:rsidR="00531E3A" w:rsidRPr="00426C49" w:rsidRDefault="00EB16AD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产业布局。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目前公司在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国内外拥有6大生产基地（分别位于宁波江北、宁波杭州湾新区、江苏常州、广东肇庆、重庆江津、越南前江），并在</w:t>
            </w:r>
            <w:r w:rsidR="00372C3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香港、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美国、德国</w:t>
            </w:r>
            <w:r w:rsidR="00372C3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日本</w:t>
            </w:r>
            <w:r w:rsidR="00372C3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、泰国、新加坡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等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地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设立子公司</w:t>
            </w:r>
            <w:r w:rsidR="00372C3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或办事处</w:t>
            </w:r>
            <w:r w:rsidR="00ED17F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“</w:t>
            </w:r>
            <w:r w:rsidR="00ED17F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十四五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”期间公司将加快企业国际化布局，为全球</w:t>
            </w:r>
            <w:r w:rsidR="00ED17F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客户提供一站式的采购服务。</w:t>
            </w:r>
          </w:p>
          <w:p w:rsidR="007C406D" w:rsidRPr="00426C49" w:rsidRDefault="000A7601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应用领域。</w:t>
            </w:r>
            <w:r w:rsidR="007C406D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有良好</w:t>
            </w:r>
            <w:r w:rsidR="00F9400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</w:t>
            </w:r>
            <w:r w:rsidR="007C406D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延展性、导热性、导电性和耐腐蚀能力</w:t>
            </w:r>
            <w:r w:rsidR="00F9400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 w:rsidR="000B461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可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广泛运用于电力、汽车、建筑材料、</w:t>
            </w:r>
            <w:r w:rsidR="00F9400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家电、电力物联网、5G通讯、新能源汽车、轨道交通、智慧城市等产业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；铜</w:t>
            </w:r>
            <w:r w:rsidR="000B461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还具有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较好的</w:t>
            </w:r>
            <w:r w:rsidR="000B461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抑菌功能，可应用于环保、</w:t>
            </w:r>
            <w:r w:rsidR="00F2701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医疗</w:t>
            </w:r>
            <w:r w:rsidR="000B461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等领域</w:t>
            </w:r>
            <w:r w:rsidR="00F9400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B92437" w:rsidRPr="00426C49" w:rsidRDefault="00372C33" w:rsidP="00F2701C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lastRenderedPageBreak/>
              <w:t>数字</w:t>
            </w:r>
            <w:r w:rsidR="0091546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化建设。公司</w:t>
            </w:r>
            <w:r w:rsidR="00B9243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在2003</w:t>
            </w:r>
            <w:r w:rsidR="0091546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年</w:t>
            </w:r>
            <w:r w:rsidR="00B9243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开始</w:t>
            </w:r>
            <w:r w:rsidR="0091546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进行</w:t>
            </w:r>
            <w:r w:rsidR="00B9243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信息化建设，</w:t>
            </w:r>
            <w:r w:rsidR="0091546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目前数字化已经深入公司生产、经营、管理各环节。</w:t>
            </w:r>
            <w:r w:rsidR="00F61367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近年来</w:t>
            </w:r>
            <w:r w:rsidR="0091546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，公司利用大数据、人工智能、云计算等</w:t>
            </w:r>
            <w:r w:rsidR="00B9243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科技，实现生产制造过程的优化和透明化生产管理；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</w:t>
            </w:r>
            <w:r w:rsidR="00EC5E8E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积极打造智能制造工厂，</w:t>
            </w:r>
            <w:r w:rsidR="00B9243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广泛应用机器人、AGV、机器视觉等技术打造自动化生产线</w:t>
            </w:r>
            <w:r w:rsidR="00EC5E8E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531E3A" w:rsidRPr="00426C49" w:rsidRDefault="00EC5E8E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技术研发。公司建立国家级企业技术中心、国家级博士后科研工作站，主持、参与国家/行业标准制订35项，拥有授权发明专利112项。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同时，公司坚持科技创新，聚焦重点应用领域关键材料与技术，研发高强、高导、高精度的新型高端铜合金新材料，推动产品升级，打造技术竞争力，持续推进转型升级。</w:t>
            </w:r>
            <w:r w:rsidR="00915466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2020年，公司高性能铜合金棒材产品成功申报国家级单项冠军产品。</w:t>
            </w:r>
            <w:r w:rsidR="00531E3A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 xml:space="preserve"> </w:t>
            </w:r>
          </w:p>
          <w:p w:rsidR="00531E3A" w:rsidRPr="00426C49" w:rsidRDefault="00531E3A" w:rsidP="00426C49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EC5E8E" w:rsidRPr="00426C49" w:rsidRDefault="00EC5E8E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2、</w:t>
            </w:r>
            <w:r w:rsidR="000D03E1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为什么公司会选择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</w:t>
            </w:r>
            <w:r w:rsidR="00CD1C64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多产品、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全产业链布局？</w:t>
            </w:r>
          </w:p>
          <w:p w:rsidR="00085F69" w:rsidRDefault="000D03E1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EC5E8E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从国外同行发展</w:t>
            </w:r>
            <w:r w:rsidR="006A67A8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来看，多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产品</w:t>
            </w:r>
            <w:r w:rsidR="004E74A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发展</w:t>
            </w:r>
            <w:r w:rsidR="006A67A8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是国际一流铜加工企业的普遍选择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。①多元化的产品结构有利于</w:t>
            </w:r>
            <w:r w:rsidR="00A3356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促进</w:t>
            </w:r>
            <w:r w:rsidR="004E74A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公司各产品、事业部的协同效应，满足下游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各类客户多元化采购需求，并与客户建立长期稳定的合作关系</w:t>
            </w:r>
            <w:r w:rsidR="00EC5E8E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；②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由于各类产品的下游行业不同，产品多元化可以分散市场风险，提升公司整体抗风险、抗周期能力</w:t>
            </w:r>
            <w:r w:rsidR="00FB630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，提升公司持续盈利能力</w:t>
            </w:r>
            <w:r w:rsidR="00085F6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EC5E8E" w:rsidRPr="00426C49" w:rsidRDefault="002043B2" w:rsidP="000D4F92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公司长期以来专注于铜加工领域，经过三十五年的积淀</w:t>
            </w:r>
            <w:r w:rsidR="00085F6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公司深刻理解市场及客户的需求，充分利用</w:t>
            </w:r>
            <w:r w:rsidR="00085F6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研发平台优势，不断完善产品序列，</w:t>
            </w:r>
            <w:r w:rsidR="0013226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拓展产品应用领域，</w:t>
            </w:r>
            <w:r w:rsidR="00085F6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在产品结构、客户结构升级方面取得了较好的</w:t>
            </w:r>
            <w:r w:rsidR="0013226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成果</w:t>
            </w:r>
            <w:r w:rsidR="00085F6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。目前，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公司产品种类齐备，产业链条完整，为客户提供一站式采购的能力较强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。2020年新冠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疫情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发生后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，客户对供应链的安全性、稳定性的要求越来越高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，公司全产业链优势进一步提升</w:t>
            </w:r>
            <w:r w:rsidR="00CD1C64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EC5E8E" w:rsidRPr="00426C49" w:rsidRDefault="00EC5E8E" w:rsidP="00426C49">
            <w:pPr>
              <w:spacing w:line="360" w:lineRule="auto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0D03E1" w:rsidRPr="00426C49" w:rsidRDefault="000D03E1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3、公司产能</w:t>
            </w:r>
            <w:r w:rsidR="006A2050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扩张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是基于什么判断？</w:t>
            </w:r>
            <w:r w:rsidR="006A2050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 xml:space="preserve"> </w:t>
            </w:r>
          </w:p>
          <w:p w:rsidR="00717D58" w:rsidRPr="00426C49" w:rsidRDefault="000D03E1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0F6B1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公司产能利用率</w:t>
            </w:r>
            <w:r w:rsidR="000F6B1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多年以来一直保持在</w:t>
            </w:r>
            <w:r w:rsidR="000F6B13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较高水平，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公司扩大产能是基于</w:t>
            </w:r>
            <w:r w:rsidR="00A3356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自身的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发展战略规划。</w:t>
            </w:r>
            <w:r w:rsidR="000F6B1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</w:t>
            </w:r>
            <w:r w:rsidR="006031B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IPO募投项目在2020年均已实现投产</w:t>
            </w:r>
            <w:r w:rsidR="000F6B1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可转债</w:t>
            </w:r>
            <w:r w:rsidR="006031B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募投项目进展顺利，预计将在2021年底至2022年初投产，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随着项目的</w:t>
            </w:r>
            <w:r w:rsidR="0032536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逐步</w:t>
            </w:r>
            <w:r w:rsidR="006031B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达产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，公司生产能力</w:t>
            </w:r>
            <w:r w:rsidR="006031BC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以及盈利能力</w:t>
            </w:r>
            <w:r w:rsidR="005A181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将得以提升</w:t>
            </w:r>
            <w:r w:rsidR="002043B2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426C49" w:rsidRDefault="00A33568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随着铜材在</w:t>
            </w:r>
            <w:r w:rsidR="000D03E1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5G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通信</w:t>
            </w:r>
            <w:r w:rsidR="000D03E1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、新能源汽车和特高压等领域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需求的增长</w:t>
            </w:r>
            <w:r w:rsidR="000D03E1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，公司聚焦</w:t>
            </w:r>
            <w:r w:rsidR="000D03E1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lastRenderedPageBreak/>
              <w:t>重点应用领域，研发高强、高导、高精度的新型高端铜合金新材料，</w:t>
            </w:r>
            <w:r w:rsidR="00A455E5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继续扩大在</w:t>
            </w:r>
            <w:r w:rsidR="002043B2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市场份额</w:t>
            </w:r>
            <w:r w:rsidR="00A455E5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823AD9" w:rsidRDefault="00823AD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目前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行业</w:t>
            </w:r>
            <w:r w:rsidR="00FF4E6E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实施产能扩张策略的</w:t>
            </w: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主要是几个头部企业，</w:t>
            </w:r>
            <w:r w:rsidR="00FF4E6E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随着</w:t>
            </w:r>
            <w:r w:rsidR="003325F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未来行业集中度的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进一步提升，</w:t>
            </w:r>
            <w:r w:rsidR="00FF4E6E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以及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国家</w:t>
            </w:r>
            <w:r w:rsidR="00FF4E6E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低碳经济发展、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碳达峰</w:t>
            </w:r>
            <w:r w:rsidR="00FF4E6E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目标的推进，规模型、环保型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企业将迎来新的发展机遇。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426C49" w:rsidRPr="00426C49" w:rsidRDefault="00ED49BC" w:rsidP="00426C49">
            <w:pPr>
              <w:pStyle w:val="a7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公司各产品的</w:t>
            </w:r>
            <w:r w:rsidR="00325368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盈利水平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如何？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D07674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公司磁性材料、阀门等产品的毛利水平相对较高。</w:t>
            </w:r>
            <w:r w:rsidR="00ED49BC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公司铜材产品涵盖铜加工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及深加工</w:t>
            </w:r>
            <w:r w:rsidR="00ED49BC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领域的主要大类，包括铜棒、铜板带、铜管、铜线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排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4952CF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电磁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线</w:t>
            </w:r>
            <w:r w:rsidR="00ED49BC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等，产品体系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完整</w:t>
            </w:r>
            <w:r w:rsidR="00ED49BC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，品种型号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齐全，并且在各细分领域内进入行业前列</w:t>
            </w:r>
            <w:r w:rsidR="00A3356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不同产品</w:t>
            </w:r>
            <w:r w:rsidR="00A168CD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受行业竞争以及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工艺</w:t>
            </w:r>
            <w:r w:rsidR="00A168CD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影响，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定价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存在一定</w:t>
            </w:r>
            <w:r w:rsidR="00A168CD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差异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  <w:r w:rsidR="00041106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总体来讲，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</w:t>
            </w:r>
            <w:r w:rsidR="00041106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带</w:t>
            </w:r>
            <w:r w:rsidR="00D07674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041106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铜管</w:t>
            </w:r>
            <w:r w:rsidR="00D07674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4952CF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电磁</w:t>
            </w:r>
            <w:r w:rsidR="00D07674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线等产品</w:t>
            </w:r>
            <w:r w:rsidR="00041106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的毛利率相对</w:t>
            </w:r>
            <w:r w:rsidR="00F61367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较高</w:t>
            </w:r>
            <w:r w:rsidR="0032536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；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铜线排产品标准化程度高、工艺流程短、装机水平高、生产及销售规模较大，具有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投资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收益率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及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资产周转率高</w:t>
            </w:r>
            <w:r w:rsidR="008E3D9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</w:t>
            </w:r>
            <w:r w:rsidR="00ED49B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特点。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426C49" w:rsidRPr="00426C49" w:rsidRDefault="0068441A" w:rsidP="00426C49">
            <w:pPr>
              <w:pStyle w:val="a7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公司产品</w:t>
            </w:r>
            <w:r w:rsidR="00F5259F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在新能源车领域的应用如何？</w:t>
            </w:r>
          </w:p>
          <w:p w:rsidR="000E6638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0E6638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相对于传统燃油乘用车，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新能源车的用铜量较高。据统计，一辆纯电轿车</w:t>
            </w:r>
            <w:r w:rsidR="000E6638" w:rsidRPr="0027622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需要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80</w:t>
            </w:r>
            <w:r w:rsidR="000E6638" w:rsidRPr="0027622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kg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以上</w:t>
            </w:r>
            <w:r w:rsidR="000E6638" w:rsidRPr="0027622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的铜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材</w:t>
            </w:r>
            <w:r w:rsidR="000E6638" w:rsidRPr="0027622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远高于每辆传统燃油乘用车</w:t>
            </w:r>
            <w:r w:rsidR="000E6638" w:rsidRPr="0027622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20kg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的用铜量</w:t>
            </w:r>
            <w:r w:rsidR="000E6638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C67A8A" w:rsidRDefault="0068441A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铜在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新能源车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领域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应用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较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多，</w:t>
            </w:r>
            <w:r w:rsidR="00CD4F40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如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充电桩</w:t>
            </w:r>
            <w:r w:rsidR="00CD4F40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电池</w:t>
            </w:r>
            <w:r w:rsidR="00CD4F40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电机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、导线、接插件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等，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铜排、铜线、电磁线、棒线、铜带等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产品</w:t>
            </w:r>
            <w:r w:rsidR="000E6638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均应用于</w:t>
            </w:r>
            <w:r w:rsidR="00170447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新能源车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领域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426C49" w:rsidRDefault="00C67A8A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此外，</w:t>
            </w:r>
            <w:r w:rsidR="0068441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稀土永磁产品</w:t>
            </w:r>
            <w:r w:rsidR="0068441A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广泛应用于新能源汽车领域，与铜产品形成协同效应。</w:t>
            </w:r>
            <w:r w:rsidR="00D6273E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近年来新能源汽车行业受到政策影响</w:t>
            </w:r>
            <w:r w:rsid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，行业前景稳定向好。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426C49" w:rsidRPr="00426C49" w:rsidRDefault="00F5259F" w:rsidP="00426C49">
            <w:pPr>
              <w:pStyle w:val="a7"/>
              <w:numPr>
                <w:ilvl w:val="0"/>
                <w:numId w:val="7"/>
              </w:numPr>
              <w:spacing w:line="360" w:lineRule="auto"/>
              <w:ind w:firstLineChars="0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公司的</w:t>
            </w:r>
            <w:r w:rsidR="00276221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铜原料的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供应商一般是</w:t>
            </w:r>
            <w:r w:rsid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哪些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？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公司电解铜的上游供应商是冶炼厂或贸易商，市场价格透明。</w:t>
            </w:r>
            <w:r w:rsidR="000D5C4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再生铜</w:t>
            </w:r>
            <w:r w:rsidR="00F5259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的供应商是全世界大型回收公司。</w:t>
            </w:r>
          </w:p>
          <w:p w:rsidR="00426C49" w:rsidRDefault="00426C49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</w:p>
          <w:p w:rsidR="00F5259F" w:rsidRPr="00426C49" w:rsidRDefault="00426C49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7、</w:t>
            </w:r>
            <w:r w:rsidR="00F5259F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公司如何控制铜价波动风险？</w:t>
            </w:r>
            <w:r w:rsidR="00F5259F" w:rsidRPr="00426C49"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  <w:t xml:space="preserve"> </w:t>
            </w:r>
          </w:p>
          <w:p w:rsidR="00CF2722" w:rsidRDefault="00426C49" w:rsidP="00CF2722">
            <w:pPr>
              <w:spacing w:beforeLines="50" w:before="156"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13602B" w:rsidRPr="004E55C0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公司铜加工产品采用“原材料价格</w:t>
            </w:r>
            <w:r w:rsidR="0013602B" w:rsidRPr="004E55C0">
              <w:rPr>
                <w:rFonts w:ascii="仿宋" w:eastAsia="仿宋" w:hAnsi="仿宋" w:cs="仿宋"/>
                <w:color w:val="000000"/>
                <w:sz w:val="24"/>
                <w:szCs w:val="24"/>
              </w:rPr>
              <w:t>+加工费”的定价模式，能有效进行成本传导</w:t>
            </w:r>
            <w:r w:rsidR="00EF1D0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；</w:t>
            </w:r>
            <w:r w:rsidR="0013602B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同时，</w:t>
            </w:r>
            <w:r w:rsidR="00EF1D0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</w:t>
            </w:r>
            <w:r w:rsidR="000D5C4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利用期货市场的套期保值功能规避铜价波动风险。</w:t>
            </w:r>
          </w:p>
          <w:p w:rsidR="00A455E5" w:rsidRPr="00CF2722" w:rsidRDefault="00CF2722" w:rsidP="00CF2722">
            <w:pPr>
              <w:spacing w:beforeLines="50" w:before="156" w:line="360" w:lineRule="auto"/>
              <w:ind w:firstLineChars="200" w:firstLine="482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CF2722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lastRenderedPageBreak/>
              <w:t>8、</w:t>
            </w:r>
            <w:r w:rsidR="00A455E5" w:rsidRPr="00426C49"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  <w:t>公司原料库存</w:t>
            </w:r>
            <w:r w:rsidR="00A455E5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如何？</w:t>
            </w:r>
            <w:r w:rsidR="00ED49BC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铜价波动是否对公司有影响</w:t>
            </w:r>
            <w:r w:rsidR="00A455E5" w:rsidRPr="00426C49"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  <w:t>？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4942C6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公司原料库存维持在合理水平，生产订单充足</w:t>
            </w:r>
            <w:r w:rsidR="00EF1D03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；</w:t>
            </w:r>
            <w:r w:rsidR="00A455E5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公司通过科学的库存管理，确保正常生产经营前提下的低库存运营，并通过原材料套期保值业务流程，有效地降低铜价波动风险，铜价波动对公司影响较小。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0F5E4F" w:rsidRPr="00426C49" w:rsidRDefault="00426C49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9、</w:t>
            </w:r>
            <w:r w:rsidR="009E0FCA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公司稀土永磁材料主要应用领域有哪些？</w:t>
            </w:r>
          </w:p>
          <w:p w:rsidR="009E0FCA" w:rsidRP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9E0FCA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公司稀土永磁</w:t>
            </w:r>
            <w:r w:rsidR="00D4081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产品</w:t>
            </w:r>
            <w:r w:rsidR="00750BBF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主要应用于风力发电、新能源汽车、工业电机、消费电子、医疗器械等领域。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0D5C4C" w:rsidRPr="00426C49" w:rsidRDefault="00426C49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10</w:t>
            </w:r>
            <w:r w:rsidR="009E0FCA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、</w:t>
            </w:r>
            <w:r w:rsidR="000D5C4C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公司对于可转债转股意向如何？是否更倾向于转股？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9E0FC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转股意愿</w:t>
            </w:r>
            <w:r w:rsidR="004952CF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最终</w:t>
            </w:r>
            <w:r w:rsidR="009E0FC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取决于可转债</w:t>
            </w:r>
            <w:r w:rsidR="00531E3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投资人对股价的判断。</w:t>
            </w:r>
            <w:r w:rsidR="000D5C4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大多数可转债投资者应该会根据正股价格走势选择转股</w:t>
            </w:r>
            <w:r w:rsidR="009E0FC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时机</w:t>
            </w:r>
            <w:r w:rsidR="000D5C4C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。</w:t>
            </w:r>
          </w:p>
          <w:p w:rsidR="00426C49" w:rsidRDefault="00426C49" w:rsidP="00426C49">
            <w:pPr>
              <w:spacing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  <w:p w:rsidR="00041106" w:rsidRPr="00426C49" w:rsidRDefault="009E0FCA" w:rsidP="00426C49">
            <w:pPr>
              <w:spacing w:line="360" w:lineRule="auto"/>
              <w:ind w:firstLineChars="200" w:firstLine="482"/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1</w:t>
            </w:r>
            <w:r w:rsidR="00426C49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1</w:t>
            </w:r>
            <w:r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、公司</w:t>
            </w:r>
            <w:r w:rsidR="00041106" w:rsidRPr="00426C49">
              <w:rPr>
                <w:rFonts w:ascii="仿宋" w:eastAsia="仿宋" w:hAnsi="仿宋" w:cs="仿宋" w:hint="eastAsia"/>
                <w:b/>
                <w:color w:val="000000"/>
                <w:sz w:val="24"/>
                <w:szCs w:val="24"/>
              </w:rPr>
              <w:t>3-5年规划？</w:t>
            </w:r>
            <w:r w:rsidRPr="00426C49">
              <w:rPr>
                <w:rFonts w:ascii="仿宋" w:eastAsia="仿宋" w:hAnsi="仿宋" w:cs="仿宋"/>
                <w:b/>
                <w:color w:val="000000"/>
                <w:sz w:val="24"/>
                <w:szCs w:val="24"/>
              </w:rPr>
              <w:t xml:space="preserve"> </w:t>
            </w:r>
          </w:p>
          <w:p w:rsidR="009E0FCA" w:rsidRPr="00426C49" w:rsidRDefault="00426C49" w:rsidP="00426C49">
            <w:pPr>
              <w:spacing w:afterLines="50" w:after="156"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答：</w:t>
            </w:r>
            <w:r w:rsidR="0029748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2020年，</w:t>
            </w:r>
            <w:r w:rsidR="009E0FCA"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公司在国际知名咨询公司的协助下，完成十四五战略编制。</w:t>
            </w:r>
            <w:r w:rsidR="009E0FCA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将成为“世界级的铜产品和先进材料专家”确立为自身未来五年的坚定战略目标。在战略目标牵引下，充分考虑市场需求的变化和公司实际情况，针对性制定细分战略目标。通过相关多元拓展优化</w:t>
            </w:r>
            <w:r w:rsidR="00297481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公司各</w:t>
            </w:r>
            <w:r w:rsidR="00EB66AF">
              <w:rPr>
                <w:rFonts w:ascii="仿宋" w:eastAsia="仿宋" w:hAnsi="仿宋" w:cs="仿宋"/>
                <w:color w:val="000000"/>
                <w:sz w:val="24"/>
                <w:szCs w:val="24"/>
              </w:rPr>
              <w:t>业务板块，择机拓展品类</w:t>
            </w:r>
            <w:r w:rsidR="00D40815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，</w:t>
            </w:r>
            <w:r w:rsidR="009E0FCA"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朝着战略目标迈进。</w:t>
            </w:r>
          </w:p>
          <w:p w:rsidR="009E0FCA" w:rsidRPr="00426C49" w:rsidRDefault="009E0FCA" w:rsidP="00426C49">
            <w:pPr>
              <w:spacing w:afterLines="50" w:after="156"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随着环保政策趋严、“碳中和”政策预期的持续释放，在行业集中度不断提升的趋势下，</w:t>
            </w: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公司抢抓产能建设项目</w:t>
            </w:r>
            <w:r w:rsidRPr="00426C49">
              <w:rPr>
                <w:rFonts w:ascii="仿宋" w:eastAsia="仿宋" w:hAnsi="仿宋" w:cs="仿宋"/>
                <w:color w:val="000000"/>
                <w:sz w:val="24"/>
                <w:szCs w:val="24"/>
              </w:rPr>
              <w:t>，抢取市占率，有利于不断巩固铜加工行业的龙头地位。</w:t>
            </w:r>
          </w:p>
          <w:p w:rsidR="00F51B9A" w:rsidRPr="00426C49" w:rsidRDefault="009E0FCA" w:rsidP="00C1736F">
            <w:pPr>
              <w:spacing w:afterLines="50" w:after="156" w:line="360" w:lineRule="auto"/>
              <w:ind w:firstLineChars="200" w:firstLine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 w:rsidRPr="00426C49"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2021年，公司将深入贯彻落实“一二三四五”战略指导方针，通过文化引领、机制创新和标杆管理，以“TTCA”高效管理法为指引，打造团队能力“核心圈”，激发组织战斗力，强化工业设计和数字化应用，秉持“严、细、实、快”的工作作风，推动企业持续转型升级。</w:t>
            </w:r>
          </w:p>
        </w:tc>
      </w:tr>
      <w:tr w:rsidR="00F51B9A" w:rsidTr="00321C4A">
        <w:trPr>
          <w:trHeight w:val="1119"/>
          <w:jc w:val="center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1B9A" w:rsidRDefault="00F51B9A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附件清单</w:t>
            </w:r>
          </w:p>
        </w:tc>
        <w:tc>
          <w:tcPr>
            <w:tcW w:w="62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B9A" w:rsidRPr="008D674B" w:rsidRDefault="00F51B9A" w:rsidP="00321C4A">
            <w:pPr>
              <w:adjustRightInd w:val="0"/>
              <w:snapToGrid w:val="0"/>
              <w:spacing w:line="240" w:lineRule="atLeast"/>
              <w:rPr>
                <w:rFonts w:ascii="仿宋" w:eastAsia="仿宋" w:hAnsi="仿宋"/>
                <w:sz w:val="24"/>
                <w:szCs w:val="24"/>
              </w:rPr>
            </w:pPr>
            <w:r w:rsidRPr="008D674B">
              <w:rPr>
                <w:rFonts w:ascii="仿宋" w:eastAsia="仿宋" w:hAnsi="仿宋" w:hint="eastAsia"/>
                <w:sz w:val="24"/>
                <w:szCs w:val="24"/>
              </w:rPr>
              <w:t>参与调研人员登记表</w:t>
            </w:r>
          </w:p>
        </w:tc>
      </w:tr>
    </w:tbl>
    <w:p w:rsidR="004F583C" w:rsidRPr="00DF41CD" w:rsidRDefault="004F583C" w:rsidP="004F583C">
      <w:pPr>
        <w:rPr>
          <w:rFonts w:ascii="仿宋" w:eastAsia="仿宋" w:hAnsi="仿宋"/>
          <w:sz w:val="24"/>
          <w:szCs w:val="24"/>
        </w:rPr>
      </w:pPr>
      <w:r w:rsidRPr="00DF41CD">
        <w:rPr>
          <w:rFonts w:ascii="仿宋" w:eastAsia="仿宋" w:hAnsi="仿宋"/>
          <w:sz w:val="24"/>
          <w:szCs w:val="24"/>
        </w:rPr>
        <w:lastRenderedPageBreak/>
        <w:t>附件</w:t>
      </w:r>
      <w:r w:rsidRPr="00DF41CD">
        <w:rPr>
          <w:rFonts w:ascii="仿宋" w:eastAsia="仿宋" w:hAnsi="仿宋" w:hint="eastAsia"/>
          <w:sz w:val="24"/>
          <w:szCs w:val="24"/>
        </w:rPr>
        <w:t>：</w:t>
      </w:r>
    </w:p>
    <w:p w:rsidR="005E6114" w:rsidRDefault="005E6114" w:rsidP="005E6114">
      <w:pPr>
        <w:widowControl/>
        <w:spacing w:line="360" w:lineRule="auto"/>
        <w:jc w:val="left"/>
        <w:rPr>
          <w:rFonts w:ascii="仿宋" w:eastAsia="仿宋" w:hAnsi="仿宋"/>
          <w:sz w:val="24"/>
        </w:rPr>
      </w:pPr>
    </w:p>
    <w:tbl>
      <w:tblPr>
        <w:tblW w:w="7752" w:type="dxa"/>
        <w:jc w:val="center"/>
        <w:tblInd w:w="-5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1"/>
        <w:gridCol w:w="3545"/>
        <w:gridCol w:w="2606"/>
      </w:tblGrid>
      <w:tr w:rsidR="005045BB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5045BB" w:rsidRDefault="005045BB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545" w:type="dxa"/>
            <w:vAlign w:val="center"/>
          </w:tcPr>
          <w:p w:rsidR="005045BB" w:rsidRDefault="005045BB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2606" w:type="dxa"/>
            <w:vAlign w:val="center"/>
          </w:tcPr>
          <w:p w:rsidR="005045BB" w:rsidRDefault="005045BB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姓名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华泰证券 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殷  超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华泰证券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张劭文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西南证券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夏健全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浙商证券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李博华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建信养老 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姜  鑫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永赢基金 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石玉山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宁聚投资 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徐逸林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兴业基金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谢云腾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太平洋</w:t>
            </w:r>
            <w:r w:rsidR="007E784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证券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张</w:t>
            </w:r>
            <w:r w:rsidR="00C1736F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磊</w:t>
            </w:r>
            <w:proofErr w:type="gramEnd"/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3545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太平洋</w:t>
            </w:r>
            <w:r w:rsidR="007E784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证券</w:t>
            </w:r>
          </w:p>
        </w:tc>
        <w:tc>
          <w:tcPr>
            <w:tcW w:w="2606" w:type="dxa"/>
          </w:tcPr>
          <w:p w:rsidR="005045BB" w:rsidRPr="009508B5" w:rsidRDefault="005045BB" w:rsidP="009508B5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孙</w:t>
            </w:r>
            <w:r w:rsidR="00C1736F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</w:t>
            </w:r>
            <w:r w:rsidRPr="009508B5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然</w:t>
            </w:r>
          </w:p>
        </w:tc>
      </w:tr>
      <w:tr w:rsidR="005045BB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5045BB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3545" w:type="dxa"/>
          </w:tcPr>
          <w:p w:rsidR="005045BB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国信证券</w:t>
            </w:r>
          </w:p>
        </w:tc>
        <w:tc>
          <w:tcPr>
            <w:tcW w:w="2606" w:type="dxa"/>
          </w:tcPr>
          <w:p w:rsidR="005045BB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焦芳冉</w:t>
            </w:r>
          </w:p>
        </w:tc>
      </w:tr>
      <w:tr w:rsidR="009508B5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3545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天风证券</w:t>
            </w:r>
          </w:p>
        </w:tc>
        <w:tc>
          <w:tcPr>
            <w:tcW w:w="2606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乔</w:t>
            </w:r>
            <w:r w:rsidR="00C1736F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敏</w:t>
            </w:r>
          </w:p>
        </w:tc>
      </w:tr>
      <w:tr w:rsidR="009508B5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3545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中银资管</w:t>
            </w:r>
          </w:p>
        </w:tc>
        <w:tc>
          <w:tcPr>
            <w:tcW w:w="2606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叶志成</w:t>
            </w:r>
          </w:p>
        </w:tc>
      </w:tr>
      <w:tr w:rsidR="009508B5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3545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泰康资管</w:t>
            </w:r>
          </w:p>
        </w:tc>
        <w:tc>
          <w:tcPr>
            <w:tcW w:w="2606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任</w:t>
            </w:r>
            <w:r w:rsidR="00C1736F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/>
                <w:color w:val="000000"/>
                <w:kern w:val="0"/>
                <w:sz w:val="24"/>
              </w:rPr>
              <w:t>翀</w:t>
            </w:r>
          </w:p>
        </w:tc>
      </w:tr>
      <w:tr w:rsidR="009508B5" w:rsidTr="004F583C">
        <w:trPr>
          <w:trHeight w:val="567"/>
          <w:jc w:val="center"/>
        </w:trPr>
        <w:tc>
          <w:tcPr>
            <w:tcW w:w="1601" w:type="dxa"/>
            <w:vAlign w:val="center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3545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</w:rPr>
              <w:t>中金</w:t>
            </w:r>
            <w:r w:rsidR="00372C33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公司</w:t>
            </w:r>
          </w:p>
        </w:tc>
        <w:tc>
          <w:tcPr>
            <w:tcW w:w="2606" w:type="dxa"/>
          </w:tcPr>
          <w:p w:rsidR="009508B5" w:rsidRDefault="009508B5" w:rsidP="00321C4A">
            <w:pPr>
              <w:widowControl/>
              <w:spacing w:line="360" w:lineRule="auto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366766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房</w:t>
            </w:r>
            <w:r w:rsidR="00C1736F">
              <w:rPr>
                <w:rFonts w:ascii="仿宋" w:eastAsia="仿宋" w:hAnsi="仿宋" w:hint="eastAsia"/>
                <w:color w:val="000000"/>
                <w:kern w:val="0"/>
                <w:sz w:val="24"/>
              </w:rPr>
              <w:t xml:space="preserve">  </w:t>
            </w:r>
            <w:bookmarkStart w:id="0" w:name="_GoBack"/>
            <w:bookmarkEnd w:id="0"/>
            <w:r w:rsidRPr="00366766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铎</w:t>
            </w:r>
          </w:p>
        </w:tc>
      </w:tr>
    </w:tbl>
    <w:p w:rsidR="005E6114" w:rsidRDefault="005E6114" w:rsidP="005E6114">
      <w:pPr>
        <w:widowControl/>
        <w:spacing w:line="360" w:lineRule="auto"/>
        <w:jc w:val="left"/>
        <w:rPr>
          <w:rFonts w:ascii="仿宋" w:eastAsia="仿宋" w:hAnsi="仿宋"/>
          <w:color w:val="000000"/>
          <w:kern w:val="0"/>
          <w:sz w:val="24"/>
        </w:rPr>
      </w:pPr>
    </w:p>
    <w:p w:rsidR="005E6114" w:rsidRDefault="005E6114"/>
    <w:sectPr w:rsidR="005E6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408" w:rsidRDefault="003D0408" w:rsidP="006636C6">
      <w:r>
        <w:separator/>
      </w:r>
    </w:p>
  </w:endnote>
  <w:endnote w:type="continuationSeparator" w:id="0">
    <w:p w:rsidR="003D0408" w:rsidRDefault="003D0408" w:rsidP="00663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408" w:rsidRDefault="003D0408" w:rsidP="006636C6">
      <w:r>
        <w:separator/>
      </w:r>
    </w:p>
  </w:footnote>
  <w:footnote w:type="continuationSeparator" w:id="0">
    <w:p w:rsidR="003D0408" w:rsidRDefault="003D0408" w:rsidP="006636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A2766"/>
    <w:multiLevelType w:val="hybridMultilevel"/>
    <w:tmpl w:val="8796EA16"/>
    <w:lvl w:ilvl="0" w:tplc="DA604D14">
      <w:start w:val="4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056907"/>
    <w:multiLevelType w:val="hybridMultilevel"/>
    <w:tmpl w:val="F5C4040C"/>
    <w:lvl w:ilvl="0" w:tplc="68AC28C8">
      <w:start w:val="7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1D6A22"/>
    <w:multiLevelType w:val="hybridMultilevel"/>
    <w:tmpl w:val="5172EB30"/>
    <w:lvl w:ilvl="0" w:tplc="9C2AA728">
      <w:start w:val="9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833319"/>
    <w:multiLevelType w:val="hybridMultilevel"/>
    <w:tmpl w:val="E67A90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0C00A46">
      <w:start w:val="1"/>
      <w:numFmt w:val="japaneseCounting"/>
      <w:lvlText w:val="第%2，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7475A2"/>
    <w:multiLevelType w:val="hybridMultilevel"/>
    <w:tmpl w:val="C584EB70"/>
    <w:lvl w:ilvl="0" w:tplc="CB0AD7A8">
      <w:start w:val="5"/>
      <w:numFmt w:val="decimal"/>
      <w:lvlText w:val="%1、"/>
      <w:lvlJc w:val="left"/>
      <w:pPr>
        <w:ind w:left="51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5">
    <w:nsid w:val="5F981386"/>
    <w:multiLevelType w:val="hybridMultilevel"/>
    <w:tmpl w:val="781A04EA"/>
    <w:lvl w:ilvl="0" w:tplc="5D944FA2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20C29F3"/>
    <w:multiLevelType w:val="hybridMultilevel"/>
    <w:tmpl w:val="23C822B8"/>
    <w:lvl w:ilvl="0" w:tplc="6D5859FA">
      <w:start w:val="4"/>
      <w:numFmt w:val="decimal"/>
      <w:lvlText w:val="%1、"/>
      <w:lvlJc w:val="left"/>
      <w:pPr>
        <w:ind w:left="872" w:hanging="39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883"/>
    <w:rsid w:val="00013BAF"/>
    <w:rsid w:val="00041106"/>
    <w:rsid w:val="00085F69"/>
    <w:rsid w:val="000A7601"/>
    <w:rsid w:val="000B461F"/>
    <w:rsid w:val="000D03E1"/>
    <w:rsid w:val="000D4F92"/>
    <w:rsid w:val="000D5C4C"/>
    <w:rsid w:val="000E6638"/>
    <w:rsid w:val="000F5E4F"/>
    <w:rsid w:val="000F6B13"/>
    <w:rsid w:val="00125E3E"/>
    <w:rsid w:val="00132263"/>
    <w:rsid w:val="0013602B"/>
    <w:rsid w:val="00170447"/>
    <w:rsid w:val="002043B2"/>
    <w:rsid w:val="00223513"/>
    <w:rsid w:val="00226A43"/>
    <w:rsid w:val="00276221"/>
    <w:rsid w:val="00297481"/>
    <w:rsid w:val="002E08C7"/>
    <w:rsid w:val="0030304D"/>
    <w:rsid w:val="00321C4A"/>
    <w:rsid w:val="00325368"/>
    <w:rsid w:val="003325F5"/>
    <w:rsid w:val="00372C33"/>
    <w:rsid w:val="003D0408"/>
    <w:rsid w:val="003E2897"/>
    <w:rsid w:val="00426C49"/>
    <w:rsid w:val="004406D1"/>
    <w:rsid w:val="004942C6"/>
    <w:rsid w:val="004952CF"/>
    <w:rsid w:val="004E55C0"/>
    <w:rsid w:val="004E74A9"/>
    <w:rsid w:val="004F583C"/>
    <w:rsid w:val="005045BB"/>
    <w:rsid w:val="005220B8"/>
    <w:rsid w:val="00531E3A"/>
    <w:rsid w:val="00542F14"/>
    <w:rsid w:val="00543401"/>
    <w:rsid w:val="00563A6E"/>
    <w:rsid w:val="005A181C"/>
    <w:rsid w:val="005A2747"/>
    <w:rsid w:val="005A32E5"/>
    <w:rsid w:val="005C0369"/>
    <w:rsid w:val="005E6114"/>
    <w:rsid w:val="006031BC"/>
    <w:rsid w:val="006173CC"/>
    <w:rsid w:val="006543E2"/>
    <w:rsid w:val="006636C6"/>
    <w:rsid w:val="0068441A"/>
    <w:rsid w:val="006A2050"/>
    <w:rsid w:val="006A67A8"/>
    <w:rsid w:val="006F748A"/>
    <w:rsid w:val="00717D58"/>
    <w:rsid w:val="00750BBF"/>
    <w:rsid w:val="0075456A"/>
    <w:rsid w:val="0076539B"/>
    <w:rsid w:val="00766BC1"/>
    <w:rsid w:val="007C3BB0"/>
    <w:rsid w:val="007C406D"/>
    <w:rsid w:val="007E7841"/>
    <w:rsid w:val="00823AD9"/>
    <w:rsid w:val="008838B8"/>
    <w:rsid w:val="008B16F2"/>
    <w:rsid w:val="008B50E2"/>
    <w:rsid w:val="008E3D9A"/>
    <w:rsid w:val="00913738"/>
    <w:rsid w:val="00915466"/>
    <w:rsid w:val="0092166B"/>
    <w:rsid w:val="009508B5"/>
    <w:rsid w:val="009E0FCA"/>
    <w:rsid w:val="00A168CD"/>
    <w:rsid w:val="00A33568"/>
    <w:rsid w:val="00A455E5"/>
    <w:rsid w:val="00A62D48"/>
    <w:rsid w:val="00B92437"/>
    <w:rsid w:val="00BA5E56"/>
    <w:rsid w:val="00C1736F"/>
    <w:rsid w:val="00C215F7"/>
    <w:rsid w:val="00C243A6"/>
    <w:rsid w:val="00C53883"/>
    <w:rsid w:val="00C63712"/>
    <w:rsid w:val="00C67A8A"/>
    <w:rsid w:val="00CD165B"/>
    <w:rsid w:val="00CD1C64"/>
    <w:rsid w:val="00CD4F40"/>
    <w:rsid w:val="00CE337A"/>
    <w:rsid w:val="00CF2722"/>
    <w:rsid w:val="00D07674"/>
    <w:rsid w:val="00D40815"/>
    <w:rsid w:val="00D6273E"/>
    <w:rsid w:val="00D967F7"/>
    <w:rsid w:val="00DA5162"/>
    <w:rsid w:val="00DF41CD"/>
    <w:rsid w:val="00DF5C91"/>
    <w:rsid w:val="00E507F0"/>
    <w:rsid w:val="00E82ACA"/>
    <w:rsid w:val="00EB16AD"/>
    <w:rsid w:val="00EB66AF"/>
    <w:rsid w:val="00EC5E8E"/>
    <w:rsid w:val="00ED17F3"/>
    <w:rsid w:val="00ED49BC"/>
    <w:rsid w:val="00EF1D03"/>
    <w:rsid w:val="00F13149"/>
    <w:rsid w:val="00F2701C"/>
    <w:rsid w:val="00F41BEF"/>
    <w:rsid w:val="00F420DD"/>
    <w:rsid w:val="00F51B9A"/>
    <w:rsid w:val="00F5259F"/>
    <w:rsid w:val="00F61367"/>
    <w:rsid w:val="00F94003"/>
    <w:rsid w:val="00FB630C"/>
    <w:rsid w:val="00FF4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rPr>
      <w:sz w:val="18"/>
      <w:szCs w:val="18"/>
    </w:rPr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rsid w:val="00531E3A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rPr>
      <w:sz w:val="18"/>
      <w:szCs w:val="18"/>
    </w:rPr>
  </w:style>
  <w:style w:type="paragraph" w:styleId="a5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rsid w:val="00531E3A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5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cseg</dc:creator>
  <cp:keywords/>
  <dc:description/>
  <cp:lastModifiedBy>田彩娟</cp:lastModifiedBy>
  <cp:revision>41</cp:revision>
  <cp:lastPrinted>2020-07-07T10:13:00Z</cp:lastPrinted>
  <dcterms:created xsi:type="dcterms:W3CDTF">2020-09-18T05:04:00Z</dcterms:created>
  <dcterms:modified xsi:type="dcterms:W3CDTF">2021-06-03T10:44:00Z</dcterms:modified>
</cp:coreProperties>
</file>