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8B16114">
      <w:pPr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 xml:space="preserve">证券简称：西藏药业 </w:t>
      </w:r>
      <w:r>
        <w:rPr>
          <w:rFonts w:ascii="仿宋" w:hAnsi="仿宋" w:eastAsia="仿宋"/>
          <w:sz w:val="24"/>
          <w:szCs w:val="24"/>
        </w:rPr>
        <w:t xml:space="preserve">                                           </w:t>
      </w:r>
      <w:r>
        <w:rPr>
          <w:rFonts w:hint="eastAsia" w:ascii="仿宋" w:hAnsi="仿宋" w:eastAsia="仿宋"/>
          <w:sz w:val="24"/>
          <w:szCs w:val="24"/>
        </w:rPr>
        <w:t>证券代码：60</w:t>
      </w:r>
      <w:r>
        <w:rPr>
          <w:rFonts w:ascii="仿宋" w:hAnsi="仿宋" w:eastAsia="仿宋"/>
          <w:sz w:val="24"/>
          <w:szCs w:val="24"/>
        </w:rPr>
        <w:t>0211</w:t>
      </w:r>
    </w:p>
    <w:p w14:paraId="47E63A12">
      <w:pPr>
        <w:spacing w:before="156" w:beforeLines="50" w:after="156" w:afterLines="50"/>
        <w:jc w:val="center"/>
        <w:rPr>
          <w:rFonts w:ascii="仿宋_GB2312" w:eastAsia="仿宋_GB2312"/>
          <w:b/>
          <w:sz w:val="36"/>
          <w:szCs w:val="36"/>
        </w:rPr>
      </w:pPr>
      <w:r>
        <w:rPr>
          <w:rFonts w:hint="eastAsia" w:ascii="仿宋_GB2312" w:eastAsia="仿宋_GB2312"/>
          <w:b/>
          <w:sz w:val="36"/>
          <w:szCs w:val="36"/>
        </w:rPr>
        <w:t>西藏诺迪康药业股份有限公司</w:t>
      </w:r>
    </w:p>
    <w:p w14:paraId="70FC4276">
      <w:pPr>
        <w:spacing w:after="156" w:afterLines="50"/>
        <w:jc w:val="center"/>
        <w:rPr>
          <w:rFonts w:ascii="仿宋_GB2312" w:eastAsia="仿宋_GB2312"/>
          <w:b/>
          <w:sz w:val="36"/>
          <w:szCs w:val="36"/>
        </w:rPr>
      </w:pPr>
      <w:r>
        <w:rPr>
          <w:rFonts w:hint="eastAsia" w:ascii="仿宋_GB2312" w:eastAsia="仿宋_GB2312"/>
          <w:b/>
          <w:sz w:val="36"/>
          <w:szCs w:val="36"/>
        </w:rPr>
        <w:t>投资者关系活动记录表</w:t>
      </w:r>
    </w:p>
    <w:tbl>
      <w:tblPr>
        <w:tblStyle w:val="7"/>
        <w:tblW w:w="1007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85"/>
        <w:gridCol w:w="7686"/>
      </w:tblGrid>
      <w:tr w14:paraId="20DD17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  <w:jc w:val="center"/>
        </w:trPr>
        <w:tc>
          <w:tcPr>
            <w:tcW w:w="2385" w:type="dxa"/>
            <w:vAlign w:val="center"/>
          </w:tcPr>
          <w:p w14:paraId="188E8D59">
            <w:pPr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投资者关系</w:t>
            </w:r>
          </w:p>
          <w:p w14:paraId="2FD15923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活动类别</w:t>
            </w:r>
          </w:p>
        </w:tc>
        <w:tc>
          <w:tcPr>
            <w:tcW w:w="7686" w:type="dxa"/>
            <w:vAlign w:val="center"/>
          </w:tcPr>
          <w:p w14:paraId="0D556A56"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分析师会议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、</w:t>
            </w:r>
            <w:r>
              <w:rPr>
                <w:rFonts w:ascii="仿宋" w:hAnsi="仿宋" w:eastAsia="仿宋"/>
                <w:sz w:val="24"/>
                <w:szCs w:val="24"/>
              </w:rPr>
              <w:t>特定对象调研</w:t>
            </w:r>
          </w:p>
        </w:tc>
      </w:tr>
      <w:tr w14:paraId="0DE2B4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2385" w:type="dxa"/>
            <w:vAlign w:val="center"/>
          </w:tcPr>
          <w:p w14:paraId="5CE79E11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参与单位名称</w:t>
            </w:r>
          </w:p>
        </w:tc>
        <w:tc>
          <w:tcPr>
            <w:tcW w:w="7686" w:type="dxa"/>
            <w:vAlign w:val="center"/>
          </w:tcPr>
          <w:p w14:paraId="3CA7D6A8"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中信证券、富国</w:t>
            </w:r>
            <w:r>
              <w:rPr>
                <w:rFonts w:ascii="仿宋" w:hAnsi="仿宋" w:eastAsia="仿宋"/>
                <w:sz w:val="24"/>
                <w:szCs w:val="24"/>
              </w:rPr>
              <w:t>基金、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申万宏源、长江证券、睿郡资产、金斧子集团、怀格资本（排名</w:t>
            </w:r>
            <w:r>
              <w:rPr>
                <w:rFonts w:ascii="仿宋" w:hAnsi="仿宋" w:eastAsia="仿宋"/>
                <w:sz w:val="24"/>
                <w:szCs w:val="24"/>
              </w:rPr>
              <w:t>不分先后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）</w:t>
            </w:r>
          </w:p>
        </w:tc>
      </w:tr>
      <w:tr w14:paraId="381EF0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385" w:type="dxa"/>
            <w:vAlign w:val="center"/>
          </w:tcPr>
          <w:p w14:paraId="4D3D6C7D">
            <w:pPr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时间</w:t>
            </w:r>
          </w:p>
        </w:tc>
        <w:tc>
          <w:tcPr>
            <w:tcW w:w="7686" w:type="dxa"/>
            <w:vAlign w:val="center"/>
          </w:tcPr>
          <w:p w14:paraId="4877D479"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2025年</w:t>
            </w:r>
            <w:r>
              <w:rPr>
                <w:rFonts w:ascii="仿宋" w:hAnsi="仿宋" w:eastAsia="仿宋"/>
                <w:sz w:val="24"/>
                <w:szCs w:val="24"/>
              </w:rPr>
              <w:t>1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月</w:t>
            </w:r>
            <w:r>
              <w:rPr>
                <w:rFonts w:ascii="仿宋" w:hAnsi="仿宋" w:eastAsia="仿宋"/>
                <w:sz w:val="24"/>
                <w:szCs w:val="24"/>
              </w:rPr>
              <w:t>1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日-1月</w:t>
            </w:r>
            <w:r>
              <w:rPr>
                <w:rFonts w:ascii="仿宋" w:hAnsi="仿宋" w:eastAsia="仿宋"/>
                <w:sz w:val="24"/>
                <w:szCs w:val="24"/>
              </w:rPr>
              <w:t>31</w:t>
            </w:r>
            <w:r>
              <w:rPr>
                <w:rFonts w:hint="eastAsia" w:ascii="仿宋" w:hAnsi="仿宋" w:eastAsia="仿宋"/>
                <w:sz w:val="24"/>
                <w:szCs w:val="24"/>
              </w:rPr>
              <w:t xml:space="preserve">日 </w:t>
            </w:r>
          </w:p>
        </w:tc>
      </w:tr>
      <w:tr w14:paraId="645B10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  <w:jc w:val="center"/>
        </w:trPr>
        <w:tc>
          <w:tcPr>
            <w:tcW w:w="2385" w:type="dxa"/>
            <w:vAlign w:val="center"/>
          </w:tcPr>
          <w:p w14:paraId="15F7E16D">
            <w:pPr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 xml:space="preserve">地点 </w:t>
            </w:r>
          </w:p>
        </w:tc>
        <w:tc>
          <w:tcPr>
            <w:tcW w:w="7686" w:type="dxa"/>
            <w:vAlign w:val="center"/>
          </w:tcPr>
          <w:p w14:paraId="618FCA91"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线下</w:t>
            </w:r>
            <w:r>
              <w:rPr>
                <w:rFonts w:ascii="仿宋" w:hAnsi="仿宋" w:eastAsia="仿宋"/>
                <w:sz w:val="24"/>
                <w:szCs w:val="24"/>
              </w:rPr>
              <w:t>会议</w:t>
            </w:r>
          </w:p>
        </w:tc>
      </w:tr>
      <w:tr w14:paraId="30CDF7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  <w:jc w:val="center"/>
        </w:trPr>
        <w:tc>
          <w:tcPr>
            <w:tcW w:w="2385" w:type="dxa"/>
            <w:vAlign w:val="center"/>
          </w:tcPr>
          <w:p w14:paraId="14A0EA3C">
            <w:pPr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上市</w:t>
            </w:r>
            <w:r>
              <w:rPr>
                <w:rFonts w:ascii="仿宋" w:hAnsi="仿宋" w:eastAsia="仿宋"/>
                <w:b/>
                <w:sz w:val="24"/>
                <w:szCs w:val="24"/>
              </w:rPr>
              <w:t>公司</w:t>
            </w:r>
          </w:p>
          <w:p w14:paraId="7C46BE22">
            <w:pPr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接待人员姓名</w:t>
            </w:r>
          </w:p>
        </w:tc>
        <w:tc>
          <w:tcPr>
            <w:tcW w:w="7686" w:type="dxa"/>
            <w:vAlign w:val="center"/>
          </w:tcPr>
          <w:p w14:paraId="40F92359">
            <w:pPr>
              <w:jc w:val="left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刘岚（副总经理、董事会秘书）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温莉莉（证券事务代表）、陈序（证券事务主管）</w:t>
            </w:r>
          </w:p>
        </w:tc>
      </w:tr>
      <w:tr w14:paraId="534E3B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10071" w:type="dxa"/>
            <w:gridSpan w:val="2"/>
            <w:vAlign w:val="center"/>
          </w:tcPr>
          <w:p w14:paraId="688BB93D">
            <w:pPr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投资者</w:t>
            </w:r>
            <w:r>
              <w:rPr>
                <w:rFonts w:ascii="仿宋" w:hAnsi="仿宋" w:eastAsia="仿宋"/>
                <w:b/>
                <w:sz w:val="28"/>
                <w:szCs w:val="28"/>
              </w:rPr>
              <w:t>关系活动主要内容</w:t>
            </w:r>
          </w:p>
        </w:tc>
      </w:tr>
      <w:tr w14:paraId="3CA962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10071" w:type="dxa"/>
            <w:gridSpan w:val="2"/>
            <w:vAlign w:val="center"/>
          </w:tcPr>
          <w:p w14:paraId="1360F0EE">
            <w:pPr>
              <w:pStyle w:val="15"/>
              <w:numPr>
                <w:ilvl w:val="0"/>
                <w:numId w:val="1"/>
              </w:numPr>
              <w:spacing w:line="360" w:lineRule="auto"/>
              <w:ind w:firstLineChars="0"/>
              <w:rPr>
                <w:rFonts w:ascii="仿宋" w:hAnsi="仿宋" w:eastAsia="仿宋"/>
                <w:b/>
                <w:sz w:val="24"/>
                <w:szCs w:val="24"/>
              </w:rPr>
            </w:pPr>
            <w:bookmarkStart w:id="0" w:name="_Toc183683122"/>
            <w:bookmarkStart w:id="1" w:name="_Toc173239398"/>
            <w:bookmarkStart w:id="2" w:name="_Toc146807425"/>
            <w:bookmarkStart w:id="3" w:name="_Toc136338099"/>
            <w:r>
              <w:rPr>
                <w:rFonts w:ascii="仿宋" w:hAnsi="仿宋" w:eastAsia="仿宋"/>
                <w:b/>
                <w:sz w:val="24"/>
                <w:szCs w:val="24"/>
              </w:rPr>
              <w:t>新活素</w:t>
            </w: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202</w:t>
            </w:r>
            <w:r>
              <w:rPr>
                <w:rFonts w:ascii="仿宋" w:hAnsi="仿宋" w:eastAsia="仿宋"/>
                <w:b/>
                <w:sz w:val="24"/>
                <w:szCs w:val="24"/>
              </w:rPr>
              <w:t>5</w:t>
            </w: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年</w:t>
            </w:r>
            <w:r>
              <w:rPr>
                <w:rFonts w:ascii="仿宋" w:hAnsi="仿宋" w:eastAsia="仿宋"/>
                <w:b/>
                <w:sz w:val="24"/>
                <w:szCs w:val="24"/>
              </w:rPr>
              <w:t>销售</w:t>
            </w: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预计?</w:t>
            </w:r>
            <w:bookmarkEnd w:id="0"/>
            <w:r>
              <w:rPr>
                <w:rFonts w:ascii="仿宋" w:hAnsi="仿宋" w:eastAsia="仿宋"/>
                <w:b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未来新活素的市场情况如何</w:t>
            </w:r>
            <w:r>
              <w:rPr>
                <w:rFonts w:ascii="仿宋" w:hAnsi="仿宋" w:eastAsia="仿宋"/>
                <w:b/>
                <w:sz w:val="24"/>
                <w:szCs w:val="24"/>
              </w:rPr>
              <w:t>？</w:t>
            </w:r>
          </w:p>
          <w:p w14:paraId="6EC451BF">
            <w:pPr>
              <w:spacing w:line="360" w:lineRule="auto"/>
              <w:ind w:firstLine="480" w:firstLineChars="200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公司正在根据市场情况统计2025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年</w:t>
            </w:r>
            <w:r>
              <w:rPr>
                <w:rFonts w:ascii="仿宋" w:hAnsi="仿宋" w:eastAsia="仿宋"/>
                <w:sz w:val="24"/>
                <w:szCs w:val="24"/>
              </w:rPr>
              <w:t>新活素预计销量，具体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数据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尚未</w:t>
            </w:r>
            <w:r>
              <w:rPr>
                <w:rFonts w:ascii="仿宋" w:hAnsi="仿宋" w:eastAsia="仿宋"/>
                <w:sz w:val="24"/>
                <w:szCs w:val="24"/>
              </w:rPr>
              <w:t>确定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。</w:t>
            </w:r>
          </w:p>
          <w:p w14:paraId="2CEACBF9">
            <w:pPr>
              <w:spacing w:line="360" w:lineRule="auto"/>
              <w:ind w:firstLine="480" w:firstLineChars="200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未来新活素的市场情况受大环境、行业政策、竞争格局等多种因素影响。公司将继续按照战略发展规划，努力做好生产经营管理工作，促进公司稳定发展。 </w:t>
            </w:r>
            <w:r>
              <w:rPr>
                <w:rFonts w:ascii="仿宋" w:hAnsi="仿宋" w:eastAsia="仿宋"/>
                <w:sz w:val="24"/>
                <w:szCs w:val="24"/>
              </w:rPr>
              <w:t xml:space="preserve">   </w:t>
            </w:r>
          </w:p>
          <w:bookmarkEnd w:id="1"/>
          <w:p w14:paraId="3190930E">
            <w:pPr>
              <w:pStyle w:val="15"/>
              <w:numPr>
                <w:ilvl w:val="0"/>
                <w:numId w:val="1"/>
              </w:numPr>
              <w:spacing w:line="360" w:lineRule="auto"/>
              <w:ind w:firstLineChars="0"/>
              <w:rPr>
                <w:rFonts w:ascii="仿宋" w:hAnsi="仿宋" w:eastAsia="仿宋"/>
                <w:b/>
                <w:sz w:val="24"/>
                <w:szCs w:val="24"/>
              </w:rPr>
            </w:pPr>
            <w:bookmarkStart w:id="4" w:name="_Toc175663064"/>
            <w:bookmarkStart w:id="5" w:name="_Toc170379995"/>
            <w:r>
              <w:rPr>
                <w:rFonts w:hint="eastAsia" w:ascii="仿宋" w:hAnsi="仿宋" w:eastAsia="仿宋"/>
                <w:b/>
                <w:sz w:val="24"/>
                <w:szCs w:val="24"/>
              </w:rPr>
              <w:t>上海</w:t>
            </w:r>
            <w:r>
              <w:rPr>
                <w:rFonts w:ascii="仿宋" w:hAnsi="仿宋" w:eastAsia="仿宋"/>
                <w:b/>
                <w:sz w:val="24"/>
                <w:szCs w:val="24"/>
              </w:rPr>
              <w:t>疫苗</w:t>
            </w: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生产线、斯微项目情况</w:t>
            </w:r>
            <w:r>
              <w:rPr>
                <w:rFonts w:ascii="仿宋" w:hAnsi="仿宋" w:eastAsia="仿宋"/>
                <w:b/>
                <w:sz w:val="24"/>
                <w:szCs w:val="24"/>
              </w:rPr>
              <w:t>？</w:t>
            </w:r>
            <w:bookmarkStart w:id="7" w:name="_GoBack"/>
            <w:bookmarkEnd w:id="7"/>
          </w:p>
          <w:p w14:paraId="136A23DC">
            <w:pPr>
              <w:spacing w:line="360" w:lineRule="auto"/>
              <w:ind w:firstLine="480" w:firstLineChars="200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公司在上海建设的</w:t>
            </w:r>
            <w:r>
              <w:rPr>
                <w:rFonts w:ascii="仿宋" w:hAnsi="仿宋" w:eastAsia="仿宋"/>
                <w:sz w:val="24"/>
                <w:szCs w:val="24"/>
              </w:rPr>
              <w:t>疫苗生产线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已转固，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将按照相关会计政策计提折旧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。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目前公司正在利用该生产线进行一些项目的工艺优化研究。</w:t>
            </w:r>
          </w:p>
          <w:p w14:paraId="2743CC5F">
            <w:pPr>
              <w:spacing w:line="360" w:lineRule="auto"/>
              <w:ind w:firstLine="480" w:firstLineChars="200"/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2023年度公司聘请了第三方评估机构就斯微股权进行了评估，估值报告显示该股权的公允价值为1000万元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。按照相关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会计政策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规定，公司会在年末资产负债表日进行减值测试，判断该项资产是否存在减值迹象，并根据测试情况确定是否减值。</w:t>
            </w:r>
          </w:p>
          <w:bookmarkEnd w:id="4"/>
          <w:p w14:paraId="1ED87669">
            <w:pPr>
              <w:pStyle w:val="15"/>
              <w:numPr>
                <w:ilvl w:val="0"/>
                <w:numId w:val="1"/>
              </w:numPr>
              <w:spacing w:line="360" w:lineRule="auto"/>
              <w:ind w:firstLineChars="0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 xml:space="preserve">政府产业扶持资金是否能持续？ </w:t>
            </w:r>
            <w:r>
              <w:rPr>
                <w:rFonts w:ascii="仿宋" w:hAnsi="仿宋" w:eastAsia="仿宋"/>
                <w:b/>
                <w:sz w:val="24"/>
                <w:szCs w:val="24"/>
              </w:rPr>
              <w:t xml:space="preserve">  </w:t>
            </w:r>
          </w:p>
          <w:p w14:paraId="04BE97F6">
            <w:pPr>
              <w:spacing w:line="360" w:lineRule="auto"/>
              <w:ind w:firstLine="480" w:firstLineChars="200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产业扶持资金与西藏当地的产业扶持政策相关,在相关政策没有调整之前，公司会持续收到产业扶持资金，但具体金额及发放时间不确定。</w:t>
            </w:r>
          </w:p>
          <w:p w14:paraId="3F87F773">
            <w:pPr>
              <w:pStyle w:val="15"/>
              <w:numPr>
                <w:ilvl w:val="0"/>
                <w:numId w:val="1"/>
              </w:numPr>
              <w:spacing w:line="360" w:lineRule="auto"/>
              <w:ind w:firstLineChars="0"/>
              <w:rPr>
                <w:rFonts w:ascii="仿宋" w:hAnsi="仿宋" w:eastAsia="仿宋"/>
                <w:b/>
                <w:sz w:val="24"/>
                <w:szCs w:val="24"/>
              </w:rPr>
            </w:pPr>
            <w:bookmarkStart w:id="6" w:name="_Toc188792420"/>
            <w:r>
              <w:rPr>
                <w:rFonts w:hint="eastAsia" w:ascii="仿宋" w:hAnsi="仿宋" w:eastAsia="仿宋"/>
                <w:b/>
                <w:sz w:val="24"/>
                <w:szCs w:val="24"/>
              </w:rPr>
              <w:t>公司在引进新品种方面的</w:t>
            </w:r>
            <w:r>
              <w:rPr>
                <w:rFonts w:ascii="仿宋" w:hAnsi="仿宋" w:eastAsia="仿宋"/>
                <w:b/>
                <w:sz w:val="24"/>
                <w:szCs w:val="24"/>
              </w:rPr>
              <w:t>计划</w:t>
            </w:r>
            <w:bookmarkEnd w:id="6"/>
            <w:r>
              <w:rPr>
                <w:rFonts w:hint="eastAsia" w:ascii="仿宋" w:hAnsi="仿宋" w:eastAsia="仿宋"/>
                <w:b/>
                <w:sz w:val="24"/>
                <w:szCs w:val="24"/>
              </w:rPr>
              <w:t>？</w:t>
            </w:r>
          </w:p>
          <w:p w14:paraId="7FA01DEF">
            <w:pPr>
              <w:spacing w:line="360" w:lineRule="auto"/>
              <w:ind w:firstLine="480" w:firstLineChars="200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公司对引进新品种始终</w:t>
            </w:r>
            <w:r>
              <w:rPr>
                <w:rFonts w:ascii="仿宋" w:hAnsi="仿宋" w:eastAsia="仿宋"/>
                <w:sz w:val="24"/>
                <w:szCs w:val="24"/>
              </w:rPr>
              <w:t>保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持开放态度，正在多方面、多渠道寻找合适的品种。公司目前现金流充足，但对新品种的引进也持严谨态度，会对产品的市场前景</w:t>
            </w:r>
            <w:r>
              <w:rPr>
                <w:rFonts w:ascii="仿宋" w:hAnsi="仿宋" w:eastAsia="仿宋"/>
                <w:sz w:val="24"/>
                <w:szCs w:val="24"/>
              </w:rPr>
              <w:t>、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价格、未来趋势等进行多方考量。</w:t>
            </w:r>
            <w:bookmarkEnd w:id="2"/>
            <w:bookmarkEnd w:id="3"/>
            <w:bookmarkEnd w:id="5"/>
          </w:p>
        </w:tc>
      </w:tr>
      <w:tr w14:paraId="5045DC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2385" w:type="dxa"/>
            <w:vAlign w:val="center"/>
          </w:tcPr>
          <w:p w14:paraId="4934619A">
            <w:pPr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附件</w:t>
            </w:r>
          </w:p>
        </w:tc>
        <w:tc>
          <w:tcPr>
            <w:tcW w:w="7686" w:type="dxa"/>
            <w:vAlign w:val="center"/>
          </w:tcPr>
          <w:p w14:paraId="79912503">
            <w:pPr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无</w:t>
            </w:r>
          </w:p>
        </w:tc>
      </w:tr>
      <w:tr w14:paraId="4D94BE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385" w:type="dxa"/>
            <w:vAlign w:val="center"/>
          </w:tcPr>
          <w:p w14:paraId="232EB030">
            <w:pPr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说明</w:t>
            </w:r>
          </w:p>
        </w:tc>
        <w:tc>
          <w:tcPr>
            <w:tcW w:w="7686" w:type="dxa"/>
            <w:vAlign w:val="center"/>
          </w:tcPr>
          <w:p w14:paraId="5129D9C8"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本次调研不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涉及应当</w:t>
            </w:r>
            <w:r>
              <w:rPr>
                <w:rFonts w:ascii="仿宋" w:hAnsi="仿宋" w:eastAsia="仿宋"/>
                <w:sz w:val="24"/>
                <w:szCs w:val="24"/>
              </w:rPr>
              <w:t>披露重大信息的泄露情况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。</w:t>
            </w:r>
          </w:p>
        </w:tc>
      </w:tr>
      <w:tr w14:paraId="693BF6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385" w:type="dxa"/>
            <w:vAlign w:val="center"/>
          </w:tcPr>
          <w:p w14:paraId="5E545D7E">
            <w:pPr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日期</w:t>
            </w:r>
          </w:p>
        </w:tc>
        <w:tc>
          <w:tcPr>
            <w:tcW w:w="7686" w:type="dxa"/>
            <w:vAlign w:val="center"/>
          </w:tcPr>
          <w:p w14:paraId="65939159">
            <w:pPr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2025年</w:t>
            </w:r>
            <w:r>
              <w:rPr>
                <w:rFonts w:ascii="仿宋" w:hAnsi="仿宋" w:eastAsia="仿宋"/>
                <w:sz w:val="24"/>
                <w:szCs w:val="24"/>
              </w:rPr>
              <w:t>2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月</w:t>
            </w:r>
            <w:r>
              <w:rPr>
                <w:rFonts w:ascii="仿宋" w:hAnsi="仿宋" w:eastAsia="仿宋"/>
                <w:sz w:val="24"/>
                <w:szCs w:val="24"/>
              </w:rPr>
              <w:t>8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日</w:t>
            </w:r>
          </w:p>
        </w:tc>
      </w:tr>
    </w:tbl>
    <w:p w14:paraId="3C74E68E">
      <w:pPr>
        <w:rPr>
          <w:rFonts w:hint="eastAsia"/>
        </w:rPr>
      </w:pPr>
    </w:p>
    <w:sectPr>
      <w:pgSz w:w="11906" w:h="16838"/>
      <w:pgMar w:top="907" w:right="1247" w:bottom="907" w:left="124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6B475AE"/>
    <w:multiLevelType w:val="multilevel"/>
    <w:tmpl w:val="56B475AE"/>
    <w:lvl w:ilvl="0" w:tentative="0">
      <w:start w:val="1"/>
      <w:numFmt w:val="decimal"/>
      <w:lvlText w:val="%1、"/>
      <w:lvlJc w:val="left"/>
      <w:pPr>
        <w:ind w:left="872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22" w:hanging="420"/>
      </w:pPr>
    </w:lvl>
    <w:lvl w:ilvl="2" w:tentative="0">
      <w:start w:val="1"/>
      <w:numFmt w:val="lowerRoman"/>
      <w:lvlText w:val="%3."/>
      <w:lvlJc w:val="right"/>
      <w:pPr>
        <w:ind w:left="1742" w:hanging="420"/>
      </w:pPr>
    </w:lvl>
    <w:lvl w:ilvl="3" w:tentative="0">
      <w:start w:val="1"/>
      <w:numFmt w:val="decimal"/>
      <w:lvlText w:val="%4."/>
      <w:lvlJc w:val="left"/>
      <w:pPr>
        <w:ind w:left="2162" w:hanging="420"/>
      </w:pPr>
    </w:lvl>
    <w:lvl w:ilvl="4" w:tentative="0">
      <w:start w:val="1"/>
      <w:numFmt w:val="lowerLetter"/>
      <w:lvlText w:val="%5)"/>
      <w:lvlJc w:val="left"/>
      <w:pPr>
        <w:ind w:left="2582" w:hanging="420"/>
      </w:pPr>
    </w:lvl>
    <w:lvl w:ilvl="5" w:tentative="0">
      <w:start w:val="1"/>
      <w:numFmt w:val="lowerRoman"/>
      <w:lvlText w:val="%6."/>
      <w:lvlJc w:val="right"/>
      <w:pPr>
        <w:ind w:left="3002" w:hanging="420"/>
      </w:pPr>
    </w:lvl>
    <w:lvl w:ilvl="6" w:tentative="0">
      <w:start w:val="1"/>
      <w:numFmt w:val="decimal"/>
      <w:lvlText w:val="%7."/>
      <w:lvlJc w:val="left"/>
      <w:pPr>
        <w:ind w:left="3422" w:hanging="420"/>
      </w:pPr>
    </w:lvl>
    <w:lvl w:ilvl="7" w:tentative="0">
      <w:start w:val="1"/>
      <w:numFmt w:val="lowerLetter"/>
      <w:lvlText w:val="%8)"/>
      <w:lvlJc w:val="left"/>
      <w:pPr>
        <w:ind w:left="3842" w:hanging="420"/>
      </w:pPr>
    </w:lvl>
    <w:lvl w:ilvl="8" w:tentative="0">
      <w:start w:val="1"/>
      <w:numFmt w:val="lowerRoman"/>
      <w:lvlText w:val="%9."/>
      <w:lvlJc w:val="right"/>
      <w:pPr>
        <w:ind w:left="4262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211F"/>
    <w:rsid w:val="00001BA9"/>
    <w:rsid w:val="000022E3"/>
    <w:rsid w:val="000029F5"/>
    <w:rsid w:val="00004E57"/>
    <w:rsid w:val="00006B81"/>
    <w:rsid w:val="0000730E"/>
    <w:rsid w:val="00007EF1"/>
    <w:rsid w:val="00010563"/>
    <w:rsid w:val="0001137B"/>
    <w:rsid w:val="00014CA5"/>
    <w:rsid w:val="00015331"/>
    <w:rsid w:val="00015525"/>
    <w:rsid w:val="00024BBF"/>
    <w:rsid w:val="0003097E"/>
    <w:rsid w:val="00030C45"/>
    <w:rsid w:val="0003121B"/>
    <w:rsid w:val="000352AF"/>
    <w:rsid w:val="0003618F"/>
    <w:rsid w:val="0003786D"/>
    <w:rsid w:val="00040925"/>
    <w:rsid w:val="000439EA"/>
    <w:rsid w:val="000573C0"/>
    <w:rsid w:val="00057EE7"/>
    <w:rsid w:val="00072B96"/>
    <w:rsid w:val="000745CE"/>
    <w:rsid w:val="00075491"/>
    <w:rsid w:val="0007783E"/>
    <w:rsid w:val="000801DD"/>
    <w:rsid w:val="00080466"/>
    <w:rsid w:val="00082E5E"/>
    <w:rsid w:val="000842D3"/>
    <w:rsid w:val="0008575C"/>
    <w:rsid w:val="0008622E"/>
    <w:rsid w:val="00097C0B"/>
    <w:rsid w:val="000A0B87"/>
    <w:rsid w:val="000B04E5"/>
    <w:rsid w:val="000B3E5C"/>
    <w:rsid w:val="000B459C"/>
    <w:rsid w:val="000B686A"/>
    <w:rsid w:val="000C246B"/>
    <w:rsid w:val="000C2A74"/>
    <w:rsid w:val="000C722F"/>
    <w:rsid w:val="000D4C45"/>
    <w:rsid w:val="000E0FA3"/>
    <w:rsid w:val="000E263F"/>
    <w:rsid w:val="000E2CFF"/>
    <w:rsid w:val="000E2E51"/>
    <w:rsid w:val="000F3DF5"/>
    <w:rsid w:val="00102CD0"/>
    <w:rsid w:val="00106578"/>
    <w:rsid w:val="00106A75"/>
    <w:rsid w:val="001120A0"/>
    <w:rsid w:val="00112471"/>
    <w:rsid w:val="00112B0E"/>
    <w:rsid w:val="00120183"/>
    <w:rsid w:val="00127537"/>
    <w:rsid w:val="00127C38"/>
    <w:rsid w:val="0013166A"/>
    <w:rsid w:val="0013227F"/>
    <w:rsid w:val="00133320"/>
    <w:rsid w:val="00142C34"/>
    <w:rsid w:val="00144278"/>
    <w:rsid w:val="0014442D"/>
    <w:rsid w:val="001462E3"/>
    <w:rsid w:val="001507B4"/>
    <w:rsid w:val="001539FA"/>
    <w:rsid w:val="00153C54"/>
    <w:rsid w:val="00155772"/>
    <w:rsid w:val="0015602F"/>
    <w:rsid w:val="00156DA8"/>
    <w:rsid w:val="0016178F"/>
    <w:rsid w:val="001619E1"/>
    <w:rsid w:val="00161DCD"/>
    <w:rsid w:val="00166FDF"/>
    <w:rsid w:val="0017139D"/>
    <w:rsid w:val="00172324"/>
    <w:rsid w:val="001735D5"/>
    <w:rsid w:val="00173CFD"/>
    <w:rsid w:val="001756D3"/>
    <w:rsid w:val="0017738D"/>
    <w:rsid w:val="00177645"/>
    <w:rsid w:val="0018252B"/>
    <w:rsid w:val="00183128"/>
    <w:rsid w:val="00185CCD"/>
    <w:rsid w:val="001903FB"/>
    <w:rsid w:val="001918C4"/>
    <w:rsid w:val="001945BC"/>
    <w:rsid w:val="00195B34"/>
    <w:rsid w:val="00197745"/>
    <w:rsid w:val="00197894"/>
    <w:rsid w:val="00197EDE"/>
    <w:rsid w:val="001A4B63"/>
    <w:rsid w:val="001A78DE"/>
    <w:rsid w:val="001B045F"/>
    <w:rsid w:val="001B5168"/>
    <w:rsid w:val="001B5663"/>
    <w:rsid w:val="001B62A7"/>
    <w:rsid w:val="001B759A"/>
    <w:rsid w:val="001B768F"/>
    <w:rsid w:val="001C6EE3"/>
    <w:rsid w:val="001C7E60"/>
    <w:rsid w:val="001D6D68"/>
    <w:rsid w:val="001E01DB"/>
    <w:rsid w:val="001E445D"/>
    <w:rsid w:val="001E6D03"/>
    <w:rsid w:val="001E6F85"/>
    <w:rsid w:val="001E7422"/>
    <w:rsid w:val="001F2B2E"/>
    <w:rsid w:val="00204279"/>
    <w:rsid w:val="002110AD"/>
    <w:rsid w:val="00214D30"/>
    <w:rsid w:val="00222B33"/>
    <w:rsid w:val="002233D7"/>
    <w:rsid w:val="00227E5A"/>
    <w:rsid w:val="0023089A"/>
    <w:rsid w:val="002327DC"/>
    <w:rsid w:val="00233AF1"/>
    <w:rsid w:val="002371DF"/>
    <w:rsid w:val="00242178"/>
    <w:rsid w:val="002430AC"/>
    <w:rsid w:val="00243212"/>
    <w:rsid w:val="002479ED"/>
    <w:rsid w:val="002518C7"/>
    <w:rsid w:val="00260CAD"/>
    <w:rsid w:val="0026231D"/>
    <w:rsid w:val="002626C3"/>
    <w:rsid w:val="00262EE1"/>
    <w:rsid w:val="00263B4D"/>
    <w:rsid w:val="00264283"/>
    <w:rsid w:val="0026588C"/>
    <w:rsid w:val="00265A02"/>
    <w:rsid w:val="0027057E"/>
    <w:rsid w:val="00272619"/>
    <w:rsid w:val="00276D79"/>
    <w:rsid w:val="00280A93"/>
    <w:rsid w:val="002819F5"/>
    <w:rsid w:val="002839B3"/>
    <w:rsid w:val="00284BE4"/>
    <w:rsid w:val="00291C68"/>
    <w:rsid w:val="00293B30"/>
    <w:rsid w:val="00293F9D"/>
    <w:rsid w:val="00295AAC"/>
    <w:rsid w:val="00295F63"/>
    <w:rsid w:val="002963C8"/>
    <w:rsid w:val="002A66DC"/>
    <w:rsid w:val="002A6C85"/>
    <w:rsid w:val="002B0343"/>
    <w:rsid w:val="002B10BB"/>
    <w:rsid w:val="002B30E1"/>
    <w:rsid w:val="002C0D72"/>
    <w:rsid w:val="002C39E4"/>
    <w:rsid w:val="002C3F42"/>
    <w:rsid w:val="002C681E"/>
    <w:rsid w:val="002D42BE"/>
    <w:rsid w:val="002E79E9"/>
    <w:rsid w:val="002F0AB1"/>
    <w:rsid w:val="002F220E"/>
    <w:rsid w:val="00305436"/>
    <w:rsid w:val="0030776A"/>
    <w:rsid w:val="00311CC1"/>
    <w:rsid w:val="00312F1E"/>
    <w:rsid w:val="00314AFB"/>
    <w:rsid w:val="003150A8"/>
    <w:rsid w:val="003154A5"/>
    <w:rsid w:val="0031622A"/>
    <w:rsid w:val="00320DF8"/>
    <w:rsid w:val="00322B60"/>
    <w:rsid w:val="0032509A"/>
    <w:rsid w:val="0032702D"/>
    <w:rsid w:val="0033165F"/>
    <w:rsid w:val="00332484"/>
    <w:rsid w:val="003338E0"/>
    <w:rsid w:val="00336FFD"/>
    <w:rsid w:val="003417F3"/>
    <w:rsid w:val="00342962"/>
    <w:rsid w:val="00352465"/>
    <w:rsid w:val="00353F62"/>
    <w:rsid w:val="003543AE"/>
    <w:rsid w:val="003546ED"/>
    <w:rsid w:val="003547C6"/>
    <w:rsid w:val="00360755"/>
    <w:rsid w:val="003611D6"/>
    <w:rsid w:val="00364EAD"/>
    <w:rsid w:val="00366288"/>
    <w:rsid w:val="003663F9"/>
    <w:rsid w:val="00367469"/>
    <w:rsid w:val="00370705"/>
    <w:rsid w:val="003723AC"/>
    <w:rsid w:val="003731C9"/>
    <w:rsid w:val="003756BA"/>
    <w:rsid w:val="003758F8"/>
    <w:rsid w:val="003766BB"/>
    <w:rsid w:val="00376CE0"/>
    <w:rsid w:val="00377AF2"/>
    <w:rsid w:val="00380DF9"/>
    <w:rsid w:val="00384462"/>
    <w:rsid w:val="00384F1E"/>
    <w:rsid w:val="00391C85"/>
    <w:rsid w:val="00391CF8"/>
    <w:rsid w:val="003A026D"/>
    <w:rsid w:val="003A4B35"/>
    <w:rsid w:val="003A69CE"/>
    <w:rsid w:val="003A7DE4"/>
    <w:rsid w:val="003B105F"/>
    <w:rsid w:val="003B12D5"/>
    <w:rsid w:val="003B6B73"/>
    <w:rsid w:val="003B74E2"/>
    <w:rsid w:val="003B7E21"/>
    <w:rsid w:val="003C0154"/>
    <w:rsid w:val="003C0373"/>
    <w:rsid w:val="003C1067"/>
    <w:rsid w:val="003C1811"/>
    <w:rsid w:val="003C3113"/>
    <w:rsid w:val="003D13EE"/>
    <w:rsid w:val="003D4FF7"/>
    <w:rsid w:val="003D538A"/>
    <w:rsid w:val="003D57A2"/>
    <w:rsid w:val="003D7B2D"/>
    <w:rsid w:val="003E03E1"/>
    <w:rsid w:val="003E0582"/>
    <w:rsid w:val="003E0F1A"/>
    <w:rsid w:val="003E15BB"/>
    <w:rsid w:val="003E2886"/>
    <w:rsid w:val="003E2C9E"/>
    <w:rsid w:val="003E2D4C"/>
    <w:rsid w:val="003E3065"/>
    <w:rsid w:val="003E435C"/>
    <w:rsid w:val="003F3FDC"/>
    <w:rsid w:val="003F6BE6"/>
    <w:rsid w:val="003F74A6"/>
    <w:rsid w:val="00401A96"/>
    <w:rsid w:val="00402359"/>
    <w:rsid w:val="00405287"/>
    <w:rsid w:val="00406EB3"/>
    <w:rsid w:val="0040752B"/>
    <w:rsid w:val="004124BA"/>
    <w:rsid w:val="004156A1"/>
    <w:rsid w:val="00417534"/>
    <w:rsid w:val="004203FD"/>
    <w:rsid w:val="00420E3C"/>
    <w:rsid w:val="004226F0"/>
    <w:rsid w:val="00423826"/>
    <w:rsid w:val="00430F82"/>
    <w:rsid w:val="00431CC6"/>
    <w:rsid w:val="00431D6A"/>
    <w:rsid w:val="00436F27"/>
    <w:rsid w:val="004425C9"/>
    <w:rsid w:val="00445874"/>
    <w:rsid w:val="00452BE3"/>
    <w:rsid w:val="00457441"/>
    <w:rsid w:val="00457513"/>
    <w:rsid w:val="004623CF"/>
    <w:rsid w:val="004623E5"/>
    <w:rsid w:val="0046680E"/>
    <w:rsid w:val="004700B7"/>
    <w:rsid w:val="00475EE7"/>
    <w:rsid w:val="0048059C"/>
    <w:rsid w:val="00481F7D"/>
    <w:rsid w:val="00485BA5"/>
    <w:rsid w:val="00485ECF"/>
    <w:rsid w:val="00491860"/>
    <w:rsid w:val="00493E01"/>
    <w:rsid w:val="00496567"/>
    <w:rsid w:val="004A5554"/>
    <w:rsid w:val="004A5EDB"/>
    <w:rsid w:val="004B152D"/>
    <w:rsid w:val="004B1FCE"/>
    <w:rsid w:val="004B2A71"/>
    <w:rsid w:val="004B3291"/>
    <w:rsid w:val="004B3973"/>
    <w:rsid w:val="004B3B35"/>
    <w:rsid w:val="004B3D81"/>
    <w:rsid w:val="004C2F8A"/>
    <w:rsid w:val="004C55AF"/>
    <w:rsid w:val="004C5606"/>
    <w:rsid w:val="004C5A87"/>
    <w:rsid w:val="004D4D08"/>
    <w:rsid w:val="004E6146"/>
    <w:rsid w:val="004E65CA"/>
    <w:rsid w:val="004F0FA6"/>
    <w:rsid w:val="004F5577"/>
    <w:rsid w:val="004F63C7"/>
    <w:rsid w:val="004F7812"/>
    <w:rsid w:val="004F7C87"/>
    <w:rsid w:val="004F7FC7"/>
    <w:rsid w:val="00506717"/>
    <w:rsid w:val="005076C1"/>
    <w:rsid w:val="00510CA2"/>
    <w:rsid w:val="00510F91"/>
    <w:rsid w:val="00511123"/>
    <w:rsid w:val="005118A7"/>
    <w:rsid w:val="00512205"/>
    <w:rsid w:val="00513EA3"/>
    <w:rsid w:val="00517AD5"/>
    <w:rsid w:val="00517E68"/>
    <w:rsid w:val="00520925"/>
    <w:rsid w:val="005211A6"/>
    <w:rsid w:val="005310C8"/>
    <w:rsid w:val="00533329"/>
    <w:rsid w:val="00534872"/>
    <w:rsid w:val="00536E54"/>
    <w:rsid w:val="00541FF5"/>
    <w:rsid w:val="005434FF"/>
    <w:rsid w:val="00543C77"/>
    <w:rsid w:val="00544C9C"/>
    <w:rsid w:val="00546AAF"/>
    <w:rsid w:val="00550C1C"/>
    <w:rsid w:val="0055249B"/>
    <w:rsid w:val="005639ED"/>
    <w:rsid w:val="00565A04"/>
    <w:rsid w:val="00572911"/>
    <w:rsid w:val="005738B5"/>
    <w:rsid w:val="0057647F"/>
    <w:rsid w:val="00577A5C"/>
    <w:rsid w:val="005839E1"/>
    <w:rsid w:val="005906CC"/>
    <w:rsid w:val="005957C9"/>
    <w:rsid w:val="00596CBA"/>
    <w:rsid w:val="005A1DBD"/>
    <w:rsid w:val="005A4AED"/>
    <w:rsid w:val="005A7DF7"/>
    <w:rsid w:val="005B1CE5"/>
    <w:rsid w:val="005B420F"/>
    <w:rsid w:val="005B5429"/>
    <w:rsid w:val="005C32A3"/>
    <w:rsid w:val="005C3996"/>
    <w:rsid w:val="005C5853"/>
    <w:rsid w:val="005C6F8E"/>
    <w:rsid w:val="005D39B7"/>
    <w:rsid w:val="005D4AD9"/>
    <w:rsid w:val="005D695C"/>
    <w:rsid w:val="005D78F6"/>
    <w:rsid w:val="005E06FE"/>
    <w:rsid w:val="005E45B6"/>
    <w:rsid w:val="005E5B16"/>
    <w:rsid w:val="005E5FB6"/>
    <w:rsid w:val="005F1A1C"/>
    <w:rsid w:val="005F2966"/>
    <w:rsid w:val="005F3AD5"/>
    <w:rsid w:val="005F3C87"/>
    <w:rsid w:val="005F3FA8"/>
    <w:rsid w:val="005F4C58"/>
    <w:rsid w:val="00601C59"/>
    <w:rsid w:val="00603E3E"/>
    <w:rsid w:val="00605DA6"/>
    <w:rsid w:val="0060673C"/>
    <w:rsid w:val="00606A58"/>
    <w:rsid w:val="006075F6"/>
    <w:rsid w:val="00610021"/>
    <w:rsid w:val="00611619"/>
    <w:rsid w:val="00611F8C"/>
    <w:rsid w:val="00613E7C"/>
    <w:rsid w:val="006154EF"/>
    <w:rsid w:val="00616173"/>
    <w:rsid w:val="0061753F"/>
    <w:rsid w:val="006204BB"/>
    <w:rsid w:val="00621489"/>
    <w:rsid w:val="00631D78"/>
    <w:rsid w:val="00635A0D"/>
    <w:rsid w:val="00651350"/>
    <w:rsid w:val="00651D20"/>
    <w:rsid w:val="00655C86"/>
    <w:rsid w:val="00656B2F"/>
    <w:rsid w:val="006575C2"/>
    <w:rsid w:val="006579C6"/>
    <w:rsid w:val="00667D0E"/>
    <w:rsid w:val="00672819"/>
    <w:rsid w:val="0067282C"/>
    <w:rsid w:val="00672A67"/>
    <w:rsid w:val="00674302"/>
    <w:rsid w:val="00676946"/>
    <w:rsid w:val="00676F8C"/>
    <w:rsid w:val="00680AD2"/>
    <w:rsid w:val="0068178A"/>
    <w:rsid w:val="00681D9A"/>
    <w:rsid w:val="00682D96"/>
    <w:rsid w:val="006876A9"/>
    <w:rsid w:val="00691320"/>
    <w:rsid w:val="00695A26"/>
    <w:rsid w:val="00697DC1"/>
    <w:rsid w:val="006A7EDE"/>
    <w:rsid w:val="006B17D1"/>
    <w:rsid w:val="006C0622"/>
    <w:rsid w:val="006C1D13"/>
    <w:rsid w:val="006C2B14"/>
    <w:rsid w:val="006C513D"/>
    <w:rsid w:val="006C5734"/>
    <w:rsid w:val="006C780D"/>
    <w:rsid w:val="006D0E07"/>
    <w:rsid w:val="006D2846"/>
    <w:rsid w:val="006E4D1C"/>
    <w:rsid w:val="006F05F6"/>
    <w:rsid w:val="006F1507"/>
    <w:rsid w:val="006F3D35"/>
    <w:rsid w:val="006F6976"/>
    <w:rsid w:val="0070121D"/>
    <w:rsid w:val="007012B2"/>
    <w:rsid w:val="00707B8B"/>
    <w:rsid w:val="00711BAD"/>
    <w:rsid w:val="00720801"/>
    <w:rsid w:val="00720CE0"/>
    <w:rsid w:val="007213DF"/>
    <w:rsid w:val="0072250C"/>
    <w:rsid w:val="00723277"/>
    <w:rsid w:val="00725827"/>
    <w:rsid w:val="00733298"/>
    <w:rsid w:val="007338F8"/>
    <w:rsid w:val="00734FFC"/>
    <w:rsid w:val="00735611"/>
    <w:rsid w:val="00740812"/>
    <w:rsid w:val="0074351C"/>
    <w:rsid w:val="007455A5"/>
    <w:rsid w:val="0074779E"/>
    <w:rsid w:val="00750292"/>
    <w:rsid w:val="007532B6"/>
    <w:rsid w:val="00754197"/>
    <w:rsid w:val="0075649F"/>
    <w:rsid w:val="007572E7"/>
    <w:rsid w:val="00763689"/>
    <w:rsid w:val="00765E41"/>
    <w:rsid w:val="00772630"/>
    <w:rsid w:val="00772EB2"/>
    <w:rsid w:val="00782FCA"/>
    <w:rsid w:val="0078580D"/>
    <w:rsid w:val="007867B4"/>
    <w:rsid w:val="00787D40"/>
    <w:rsid w:val="00790880"/>
    <w:rsid w:val="00790EFF"/>
    <w:rsid w:val="00793F64"/>
    <w:rsid w:val="007955ED"/>
    <w:rsid w:val="00795668"/>
    <w:rsid w:val="007972DE"/>
    <w:rsid w:val="007A23C8"/>
    <w:rsid w:val="007A3766"/>
    <w:rsid w:val="007A3AA8"/>
    <w:rsid w:val="007A5A1C"/>
    <w:rsid w:val="007A638C"/>
    <w:rsid w:val="007A6F91"/>
    <w:rsid w:val="007B49F6"/>
    <w:rsid w:val="007C15FF"/>
    <w:rsid w:val="007C25ED"/>
    <w:rsid w:val="007C4B34"/>
    <w:rsid w:val="007C7A07"/>
    <w:rsid w:val="007D30C9"/>
    <w:rsid w:val="007D4DF9"/>
    <w:rsid w:val="007D7796"/>
    <w:rsid w:val="007E111C"/>
    <w:rsid w:val="007E2D4A"/>
    <w:rsid w:val="007E3947"/>
    <w:rsid w:val="007E5402"/>
    <w:rsid w:val="007E5A68"/>
    <w:rsid w:val="007F3A16"/>
    <w:rsid w:val="007F4055"/>
    <w:rsid w:val="007F4D16"/>
    <w:rsid w:val="00802388"/>
    <w:rsid w:val="00806463"/>
    <w:rsid w:val="008137DC"/>
    <w:rsid w:val="0081407F"/>
    <w:rsid w:val="00814CCC"/>
    <w:rsid w:val="00827912"/>
    <w:rsid w:val="008316CE"/>
    <w:rsid w:val="008316F7"/>
    <w:rsid w:val="00831836"/>
    <w:rsid w:val="0083225F"/>
    <w:rsid w:val="00832651"/>
    <w:rsid w:val="00832F21"/>
    <w:rsid w:val="0083495A"/>
    <w:rsid w:val="008357DA"/>
    <w:rsid w:val="00835BB9"/>
    <w:rsid w:val="00835DED"/>
    <w:rsid w:val="0084071C"/>
    <w:rsid w:val="008433E4"/>
    <w:rsid w:val="0084566E"/>
    <w:rsid w:val="008500DC"/>
    <w:rsid w:val="008515CB"/>
    <w:rsid w:val="00851626"/>
    <w:rsid w:val="00855915"/>
    <w:rsid w:val="00856A42"/>
    <w:rsid w:val="00857E1F"/>
    <w:rsid w:val="008602CF"/>
    <w:rsid w:val="00862D74"/>
    <w:rsid w:val="0086785F"/>
    <w:rsid w:val="0087244A"/>
    <w:rsid w:val="0087442F"/>
    <w:rsid w:val="00874D3C"/>
    <w:rsid w:val="00876011"/>
    <w:rsid w:val="00885AF7"/>
    <w:rsid w:val="00885BCF"/>
    <w:rsid w:val="00890889"/>
    <w:rsid w:val="008930E1"/>
    <w:rsid w:val="0089429F"/>
    <w:rsid w:val="00894FD8"/>
    <w:rsid w:val="008962FA"/>
    <w:rsid w:val="008A11F8"/>
    <w:rsid w:val="008A1536"/>
    <w:rsid w:val="008A3124"/>
    <w:rsid w:val="008A3348"/>
    <w:rsid w:val="008A4B37"/>
    <w:rsid w:val="008A62B9"/>
    <w:rsid w:val="008A746C"/>
    <w:rsid w:val="008B1279"/>
    <w:rsid w:val="008B26A2"/>
    <w:rsid w:val="008B4150"/>
    <w:rsid w:val="008C2CD7"/>
    <w:rsid w:val="008C4A6A"/>
    <w:rsid w:val="008C5A27"/>
    <w:rsid w:val="008C69A8"/>
    <w:rsid w:val="008D397A"/>
    <w:rsid w:val="008D618A"/>
    <w:rsid w:val="008D6716"/>
    <w:rsid w:val="008D76A7"/>
    <w:rsid w:val="008E2C00"/>
    <w:rsid w:val="008E43FD"/>
    <w:rsid w:val="008F01BF"/>
    <w:rsid w:val="008F1A65"/>
    <w:rsid w:val="008F57EB"/>
    <w:rsid w:val="008F7528"/>
    <w:rsid w:val="009013E3"/>
    <w:rsid w:val="0091075E"/>
    <w:rsid w:val="00923D4A"/>
    <w:rsid w:val="00926F90"/>
    <w:rsid w:val="00934892"/>
    <w:rsid w:val="009355C0"/>
    <w:rsid w:val="00937B97"/>
    <w:rsid w:val="00941B67"/>
    <w:rsid w:val="00942596"/>
    <w:rsid w:val="009438FD"/>
    <w:rsid w:val="00943E55"/>
    <w:rsid w:val="00946000"/>
    <w:rsid w:val="00946977"/>
    <w:rsid w:val="0095269A"/>
    <w:rsid w:val="00952D90"/>
    <w:rsid w:val="009546BD"/>
    <w:rsid w:val="0095523C"/>
    <w:rsid w:val="00956308"/>
    <w:rsid w:val="00966AF4"/>
    <w:rsid w:val="00977CAF"/>
    <w:rsid w:val="00981A36"/>
    <w:rsid w:val="00981EEB"/>
    <w:rsid w:val="00981F31"/>
    <w:rsid w:val="00982529"/>
    <w:rsid w:val="0098477A"/>
    <w:rsid w:val="009869DF"/>
    <w:rsid w:val="00990BE4"/>
    <w:rsid w:val="00991E2E"/>
    <w:rsid w:val="00991FB6"/>
    <w:rsid w:val="00993DF1"/>
    <w:rsid w:val="00994166"/>
    <w:rsid w:val="00995649"/>
    <w:rsid w:val="009977EE"/>
    <w:rsid w:val="009A114D"/>
    <w:rsid w:val="009A5ACA"/>
    <w:rsid w:val="009A6A22"/>
    <w:rsid w:val="009B1E6D"/>
    <w:rsid w:val="009B4AF8"/>
    <w:rsid w:val="009B7721"/>
    <w:rsid w:val="009C2A58"/>
    <w:rsid w:val="009D1F01"/>
    <w:rsid w:val="009D3040"/>
    <w:rsid w:val="009D5CFB"/>
    <w:rsid w:val="009D687D"/>
    <w:rsid w:val="009D6A33"/>
    <w:rsid w:val="009E024D"/>
    <w:rsid w:val="009E4D31"/>
    <w:rsid w:val="009E546D"/>
    <w:rsid w:val="009F0F2E"/>
    <w:rsid w:val="009F396F"/>
    <w:rsid w:val="009F5182"/>
    <w:rsid w:val="009F649B"/>
    <w:rsid w:val="00A02E83"/>
    <w:rsid w:val="00A06EE3"/>
    <w:rsid w:val="00A10071"/>
    <w:rsid w:val="00A143DF"/>
    <w:rsid w:val="00A23103"/>
    <w:rsid w:val="00A24565"/>
    <w:rsid w:val="00A24FEF"/>
    <w:rsid w:val="00A31F61"/>
    <w:rsid w:val="00A3407C"/>
    <w:rsid w:val="00A376A3"/>
    <w:rsid w:val="00A412B5"/>
    <w:rsid w:val="00A418C5"/>
    <w:rsid w:val="00A434A9"/>
    <w:rsid w:val="00A4498F"/>
    <w:rsid w:val="00A5186F"/>
    <w:rsid w:val="00A5211F"/>
    <w:rsid w:val="00A53E58"/>
    <w:rsid w:val="00A540C0"/>
    <w:rsid w:val="00A54BAC"/>
    <w:rsid w:val="00A61076"/>
    <w:rsid w:val="00A64BA3"/>
    <w:rsid w:val="00A70040"/>
    <w:rsid w:val="00A70101"/>
    <w:rsid w:val="00A703AC"/>
    <w:rsid w:val="00A718B8"/>
    <w:rsid w:val="00A720D7"/>
    <w:rsid w:val="00A757F9"/>
    <w:rsid w:val="00A80249"/>
    <w:rsid w:val="00A819DF"/>
    <w:rsid w:val="00A914EE"/>
    <w:rsid w:val="00A918BE"/>
    <w:rsid w:val="00A9418B"/>
    <w:rsid w:val="00AA10E3"/>
    <w:rsid w:val="00AA213F"/>
    <w:rsid w:val="00AA4216"/>
    <w:rsid w:val="00AA5472"/>
    <w:rsid w:val="00AA6225"/>
    <w:rsid w:val="00AB0260"/>
    <w:rsid w:val="00AB0611"/>
    <w:rsid w:val="00AC0B85"/>
    <w:rsid w:val="00AC13D7"/>
    <w:rsid w:val="00AC22E0"/>
    <w:rsid w:val="00AC30F3"/>
    <w:rsid w:val="00AC3FEB"/>
    <w:rsid w:val="00AD1FE5"/>
    <w:rsid w:val="00AD7F92"/>
    <w:rsid w:val="00AE1AAB"/>
    <w:rsid w:val="00AF06B5"/>
    <w:rsid w:val="00AF1C2C"/>
    <w:rsid w:val="00B00FD4"/>
    <w:rsid w:val="00B01E24"/>
    <w:rsid w:val="00B03838"/>
    <w:rsid w:val="00B04DFF"/>
    <w:rsid w:val="00B050F7"/>
    <w:rsid w:val="00B12B4E"/>
    <w:rsid w:val="00B12B8A"/>
    <w:rsid w:val="00B14B78"/>
    <w:rsid w:val="00B1502B"/>
    <w:rsid w:val="00B22B66"/>
    <w:rsid w:val="00B240B0"/>
    <w:rsid w:val="00B33D9F"/>
    <w:rsid w:val="00B34470"/>
    <w:rsid w:val="00B41F9F"/>
    <w:rsid w:val="00B428A9"/>
    <w:rsid w:val="00B513AB"/>
    <w:rsid w:val="00B612FB"/>
    <w:rsid w:val="00B61DD4"/>
    <w:rsid w:val="00B66241"/>
    <w:rsid w:val="00B665DA"/>
    <w:rsid w:val="00B7071A"/>
    <w:rsid w:val="00B71534"/>
    <w:rsid w:val="00B75AC1"/>
    <w:rsid w:val="00B771C8"/>
    <w:rsid w:val="00B805DB"/>
    <w:rsid w:val="00B84A06"/>
    <w:rsid w:val="00B9051C"/>
    <w:rsid w:val="00B92354"/>
    <w:rsid w:val="00B92E2A"/>
    <w:rsid w:val="00B952EF"/>
    <w:rsid w:val="00B9760F"/>
    <w:rsid w:val="00BA1860"/>
    <w:rsid w:val="00BA32CB"/>
    <w:rsid w:val="00BB09FF"/>
    <w:rsid w:val="00BB41D3"/>
    <w:rsid w:val="00BB4A08"/>
    <w:rsid w:val="00BC0C01"/>
    <w:rsid w:val="00BC1B86"/>
    <w:rsid w:val="00BC51F8"/>
    <w:rsid w:val="00BD3FF0"/>
    <w:rsid w:val="00BD6970"/>
    <w:rsid w:val="00BD760B"/>
    <w:rsid w:val="00BE00C2"/>
    <w:rsid w:val="00BE3733"/>
    <w:rsid w:val="00BE37AC"/>
    <w:rsid w:val="00BF176F"/>
    <w:rsid w:val="00BF1BC8"/>
    <w:rsid w:val="00BF4DB7"/>
    <w:rsid w:val="00BF5A99"/>
    <w:rsid w:val="00C00FEB"/>
    <w:rsid w:val="00C037B1"/>
    <w:rsid w:val="00C046D5"/>
    <w:rsid w:val="00C06AD0"/>
    <w:rsid w:val="00C07BCC"/>
    <w:rsid w:val="00C111D6"/>
    <w:rsid w:val="00C15112"/>
    <w:rsid w:val="00C17800"/>
    <w:rsid w:val="00C200D1"/>
    <w:rsid w:val="00C20B6E"/>
    <w:rsid w:val="00C21187"/>
    <w:rsid w:val="00C217C5"/>
    <w:rsid w:val="00C251E4"/>
    <w:rsid w:val="00C313D5"/>
    <w:rsid w:val="00C408E0"/>
    <w:rsid w:val="00C42110"/>
    <w:rsid w:val="00C424C8"/>
    <w:rsid w:val="00C50A82"/>
    <w:rsid w:val="00C51008"/>
    <w:rsid w:val="00C52155"/>
    <w:rsid w:val="00C5249D"/>
    <w:rsid w:val="00C538FE"/>
    <w:rsid w:val="00C548C1"/>
    <w:rsid w:val="00C57FBD"/>
    <w:rsid w:val="00C627F0"/>
    <w:rsid w:val="00C62DCF"/>
    <w:rsid w:val="00C65011"/>
    <w:rsid w:val="00C66DE9"/>
    <w:rsid w:val="00C71864"/>
    <w:rsid w:val="00C73282"/>
    <w:rsid w:val="00C75465"/>
    <w:rsid w:val="00C77504"/>
    <w:rsid w:val="00C77633"/>
    <w:rsid w:val="00C81F92"/>
    <w:rsid w:val="00C84917"/>
    <w:rsid w:val="00C84E79"/>
    <w:rsid w:val="00C86D34"/>
    <w:rsid w:val="00C972F7"/>
    <w:rsid w:val="00C97AB7"/>
    <w:rsid w:val="00CA27DD"/>
    <w:rsid w:val="00CA2BB8"/>
    <w:rsid w:val="00CB14A8"/>
    <w:rsid w:val="00CB14AB"/>
    <w:rsid w:val="00CB24B2"/>
    <w:rsid w:val="00CB375E"/>
    <w:rsid w:val="00CB7D61"/>
    <w:rsid w:val="00CD1AE6"/>
    <w:rsid w:val="00CD300A"/>
    <w:rsid w:val="00CD324D"/>
    <w:rsid w:val="00CD6307"/>
    <w:rsid w:val="00CE07B1"/>
    <w:rsid w:val="00CE0B42"/>
    <w:rsid w:val="00CE2B0F"/>
    <w:rsid w:val="00CE3C55"/>
    <w:rsid w:val="00CF0AD9"/>
    <w:rsid w:val="00CF0E25"/>
    <w:rsid w:val="00D00A60"/>
    <w:rsid w:val="00D0535F"/>
    <w:rsid w:val="00D1499C"/>
    <w:rsid w:val="00D17A7E"/>
    <w:rsid w:val="00D20561"/>
    <w:rsid w:val="00D20C48"/>
    <w:rsid w:val="00D22CEE"/>
    <w:rsid w:val="00D23A25"/>
    <w:rsid w:val="00D23DE7"/>
    <w:rsid w:val="00D336C1"/>
    <w:rsid w:val="00D34045"/>
    <w:rsid w:val="00D348B3"/>
    <w:rsid w:val="00D34FC1"/>
    <w:rsid w:val="00D42BB1"/>
    <w:rsid w:val="00D42C5B"/>
    <w:rsid w:val="00D45C87"/>
    <w:rsid w:val="00D45FDA"/>
    <w:rsid w:val="00D47495"/>
    <w:rsid w:val="00D55E5F"/>
    <w:rsid w:val="00D57FAF"/>
    <w:rsid w:val="00D6081D"/>
    <w:rsid w:val="00D6299B"/>
    <w:rsid w:val="00D63D9C"/>
    <w:rsid w:val="00D65691"/>
    <w:rsid w:val="00D735CA"/>
    <w:rsid w:val="00D74A15"/>
    <w:rsid w:val="00D76D5C"/>
    <w:rsid w:val="00D7788C"/>
    <w:rsid w:val="00D80835"/>
    <w:rsid w:val="00D822ED"/>
    <w:rsid w:val="00D8404D"/>
    <w:rsid w:val="00D92313"/>
    <w:rsid w:val="00D92966"/>
    <w:rsid w:val="00D96BFF"/>
    <w:rsid w:val="00DA573F"/>
    <w:rsid w:val="00DA68E2"/>
    <w:rsid w:val="00DA6D8F"/>
    <w:rsid w:val="00DB0AD3"/>
    <w:rsid w:val="00DB3588"/>
    <w:rsid w:val="00DB5CD6"/>
    <w:rsid w:val="00DB64BD"/>
    <w:rsid w:val="00DC2797"/>
    <w:rsid w:val="00DC5D75"/>
    <w:rsid w:val="00DD03BE"/>
    <w:rsid w:val="00DD04F0"/>
    <w:rsid w:val="00DD0F58"/>
    <w:rsid w:val="00DD2853"/>
    <w:rsid w:val="00DD3BA9"/>
    <w:rsid w:val="00DD591E"/>
    <w:rsid w:val="00DD6C56"/>
    <w:rsid w:val="00DE3362"/>
    <w:rsid w:val="00DE411A"/>
    <w:rsid w:val="00DE52ED"/>
    <w:rsid w:val="00DE7C20"/>
    <w:rsid w:val="00DF15D1"/>
    <w:rsid w:val="00DF17A5"/>
    <w:rsid w:val="00DF1B24"/>
    <w:rsid w:val="00DF3334"/>
    <w:rsid w:val="00DF3652"/>
    <w:rsid w:val="00DF3693"/>
    <w:rsid w:val="00DF48E5"/>
    <w:rsid w:val="00DF743B"/>
    <w:rsid w:val="00E00D14"/>
    <w:rsid w:val="00E048CF"/>
    <w:rsid w:val="00E12051"/>
    <w:rsid w:val="00E239C0"/>
    <w:rsid w:val="00E271BA"/>
    <w:rsid w:val="00E3023E"/>
    <w:rsid w:val="00E34976"/>
    <w:rsid w:val="00E37F28"/>
    <w:rsid w:val="00E446AB"/>
    <w:rsid w:val="00E450DC"/>
    <w:rsid w:val="00E475CE"/>
    <w:rsid w:val="00E53F89"/>
    <w:rsid w:val="00E57CAD"/>
    <w:rsid w:val="00E65B4D"/>
    <w:rsid w:val="00E65CAD"/>
    <w:rsid w:val="00E66677"/>
    <w:rsid w:val="00E66F60"/>
    <w:rsid w:val="00E70563"/>
    <w:rsid w:val="00E728C6"/>
    <w:rsid w:val="00E74BF2"/>
    <w:rsid w:val="00E916A0"/>
    <w:rsid w:val="00E963F9"/>
    <w:rsid w:val="00E97835"/>
    <w:rsid w:val="00EA1AC5"/>
    <w:rsid w:val="00EA2289"/>
    <w:rsid w:val="00EA4A34"/>
    <w:rsid w:val="00EA528B"/>
    <w:rsid w:val="00EA66AA"/>
    <w:rsid w:val="00EA6F45"/>
    <w:rsid w:val="00EB1ABB"/>
    <w:rsid w:val="00EB1B0A"/>
    <w:rsid w:val="00EB5394"/>
    <w:rsid w:val="00EB7AD1"/>
    <w:rsid w:val="00EC0ACE"/>
    <w:rsid w:val="00EC0F50"/>
    <w:rsid w:val="00EC56E7"/>
    <w:rsid w:val="00ED180B"/>
    <w:rsid w:val="00ED2A49"/>
    <w:rsid w:val="00EE200A"/>
    <w:rsid w:val="00EE2993"/>
    <w:rsid w:val="00EE2FCF"/>
    <w:rsid w:val="00EE5F43"/>
    <w:rsid w:val="00EF03B9"/>
    <w:rsid w:val="00EF0CAC"/>
    <w:rsid w:val="00EF5B24"/>
    <w:rsid w:val="00EF6983"/>
    <w:rsid w:val="00F04463"/>
    <w:rsid w:val="00F06895"/>
    <w:rsid w:val="00F12227"/>
    <w:rsid w:val="00F2040C"/>
    <w:rsid w:val="00F2340B"/>
    <w:rsid w:val="00F23C36"/>
    <w:rsid w:val="00F23D1E"/>
    <w:rsid w:val="00F247A4"/>
    <w:rsid w:val="00F3096F"/>
    <w:rsid w:val="00F37291"/>
    <w:rsid w:val="00F37A06"/>
    <w:rsid w:val="00F40D48"/>
    <w:rsid w:val="00F42F01"/>
    <w:rsid w:val="00F43AF0"/>
    <w:rsid w:val="00F44BD7"/>
    <w:rsid w:val="00F516E9"/>
    <w:rsid w:val="00F5448D"/>
    <w:rsid w:val="00F55053"/>
    <w:rsid w:val="00F55C2C"/>
    <w:rsid w:val="00F5725B"/>
    <w:rsid w:val="00F62E68"/>
    <w:rsid w:val="00F65122"/>
    <w:rsid w:val="00F701B1"/>
    <w:rsid w:val="00F71A9F"/>
    <w:rsid w:val="00F73BB7"/>
    <w:rsid w:val="00F7445C"/>
    <w:rsid w:val="00F81FC9"/>
    <w:rsid w:val="00F83D2F"/>
    <w:rsid w:val="00F84536"/>
    <w:rsid w:val="00F85828"/>
    <w:rsid w:val="00F91F0F"/>
    <w:rsid w:val="00F97670"/>
    <w:rsid w:val="00FA1E5D"/>
    <w:rsid w:val="00FA6ED3"/>
    <w:rsid w:val="00FB0CAE"/>
    <w:rsid w:val="00FB2CCA"/>
    <w:rsid w:val="00FB3A1D"/>
    <w:rsid w:val="00FB770E"/>
    <w:rsid w:val="00FC24A3"/>
    <w:rsid w:val="00FD1ECA"/>
    <w:rsid w:val="00FD1F18"/>
    <w:rsid w:val="00FD267C"/>
    <w:rsid w:val="00FD3AF4"/>
    <w:rsid w:val="00FD4C91"/>
    <w:rsid w:val="00FD56E1"/>
    <w:rsid w:val="00FD7055"/>
    <w:rsid w:val="00FE1858"/>
    <w:rsid w:val="00FE1C84"/>
    <w:rsid w:val="00FE209B"/>
    <w:rsid w:val="00FE45B2"/>
    <w:rsid w:val="00FE636D"/>
    <w:rsid w:val="00FF3C7C"/>
    <w:rsid w:val="00FF7A3E"/>
    <w:rsid w:val="17D17427"/>
    <w:rsid w:val="29567CBD"/>
    <w:rsid w:val="63C625BB"/>
    <w:rsid w:val="77F015CB"/>
    <w:rsid w:val="78ED7920"/>
    <w:rsid w:val="7EF471CD"/>
    <w:rsid w:val="7FC343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6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14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9">
    <w:name w:val="Strong"/>
    <w:basedOn w:val="8"/>
    <w:qFormat/>
    <w:uiPriority w:val="22"/>
    <w:rPr>
      <w:b/>
      <w:bCs/>
    </w:rPr>
  </w:style>
  <w:style w:type="character" w:styleId="10">
    <w:name w:val="Emphasis"/>
    <w:basedOn w:val="8"/>
    <w:qFormat/>
    <w:uiPriority w:val="20"/>
    <w:rPr>
      <w:i/>
      <w:iCs/>
    </w:rPr>
  </w:style>
  <w:style w:type="character" w:customStyle="1" w:styleId="11">
    <w:name w:val="页眉 Char"/>
    <w:basedOn w:val="8"/>
    <w:link w:val="6"/>
    <w:qFormat/>
    <w:uiPriority w:val="99"/>
    <w:rPr>
      <w:sz w:val="18"/>
      <w:szCs w:val="18"/>
    </w:rPr>
  </w:style>
  <w:style w:type="character" w:customStyle="1" w:styleId="12">
    <w:name w:val="页脚 Char"/>
    <w:basedOn w:val="8"/>
    <w:link w:val="5"/>
    <w:qFormat/>
    <w:uiPriority w:val="99"/>
    <w:rPr>
      <w:sz w:val="18"/>
      <w:szCs w:val="18"/>
    </w:rPr>
  </w:style>
  <w:style w:type="character" w:customStyle="1" w:styleId="13">
    <w:name w:val="批注框文本 Char"/>
    <w:basedOn w:val="8"/>
    <w:link w:val="4"/>
    <w:semiHidden/>
    <w:qFormat/>
    <w:uiPriority w:val="99"/>
    <w:rPr>
      <w:sz w:val="18"/>
      <w:szCs w:val="18"/>
    </w:rPr>
  </w:style>
  <w:style w:type="character" w:customStyle="1" w:styleId="14">
    <w:name w:val="标题 2 Char"/>
    <w:basedOn w:val="8"/>
    <w:link w:val="3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15">
    <w:name w:val="List Paragraph"/>
    <w:basedOn w:val="1"/>
    <w:qFormat/>
    <w:uiPriority w:val="34"/>
    <w:pPr>
      <w:ind w:firstLine="420" w:firstLineChars="200"/>
    </w:pPr>
  </w:style>
  <w:style w:type="character" w:customStyle="1" w:styleId="16">
    <w:name w:val="标题 1 Char"/>
    <w:basedOn w:val="8"/>
    <w:link w:val="2"/>
    <w:qFormat/>
    <w:uiPriority w:val="9"/>
    <w:rPr>
      <w:b/>
      <w:bCs/>
      <w:kern w:val="44"/>
      <w:sz w:val="44"/>
      <w:szCs w:val="44"/>
    </w:rPr>
  </w:style>
  <w:style w:type="paragraph" w:customStyle="1" w:styleId="17">
    <w:name w:val="Revision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8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eastAsia="宋体" w:cs="宋体" w:hAnsiTheme="minorHAnsi"/>
      <w:color w:val="000000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DDFD1E7-C305-4955-883B-67317FDD5F5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694</Words>
  <Characters>719</Characters>
  <Lines>5</Lines>
  <Paragraphs>1</Paragraphs>
  <TotalTime>610</TotalTime>
  <ScaleCrop>false</ScaleCrop>
  <LinksUpToDate>false</LinksUpToDate>
  <CharactersWithSpaces>773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2024-09-05T09:13:00Z</dcterms:created>
  <dc:creator>asd</dc:creator>
  <cp:lastModifiedBy>lily</cp:lastModifiedBy>
  <cp:lastPrinted>2024-07-05T05:12:00Z</cp:lastPrinted>
  <dcterms:modified xsi:type="dcterms:W3CDTF">2025-02-08T08:00:26Z</dcterms:modified>
  <cp:revision>107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eyJoZGlkIjoiZDc2YjFkMThjYzk5NjZkNDIzZmZmYjQyM2NlNmFiMDYiLCJ1c2VySWQiOiI2NTI2NDY5ODAifQ==</vt:lpwstr>
  </property>
  <property fmtid="{D5CDD505-2E9C-101B-9397-08002B2CF9AE}" pid="3" name="KSOProductBuildVer">
    <vt:lpwstr>2052-12.1.0.19770</vt:lpwstr>
  </property>
  <property fmtid="{D5CDD505-2E9C-101B-9397-08002B2CF9AE}" pid="4" name="ICV">
    <vt:lpwstr>83A3E29AFC2F486CB06C345CFD0657C6_12</vt:lpwstr>
  </property>
</Properties>
</file>