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val="0"/>
        <w:spacing w:before="156" w:beforeLines="50" w:after="156" w:afterLines="50" w:line="360" w:lineRule="auto"/>
        <w:ind w:firstLine="0" w:firstLineChars="0"/>
        <w:jc w:val="center"/>
        <w:outlineLvl w:val="1"/>
        <w:rPr>
          <w:rFonts w:ascii="宋体" w:hAnsi="宋体" w:eastAsia="宋体"/>
          <w:b/>
          <w:bCs/>
          <w:kern w:val="2"/>
        </w:rPr>
      </w:pPr>
      <w:r>
        <w:rPr>
          <w:rFonts w:hint="eastAsia" w:ascii="宋体" w:hAnsi="宋体" w:eastAsia="宋体"/>
          <w:b/>
          <w:bCs/>
          <w:kern w:val="2"/>
        </w:rPr>
        <w:t>投资者关系活动记录表</w:t>
      </w:r>
    </w:p>
    <w:p>
      <w:pPr>
        <w:keepNext/>
        <w:keepLines/>
        <w:widowControl w:val="0"/>
        <w:spacing w:before="260" w:after="260" w:line="360" w:lineRule="auto"/>
        <w:ind w:firstLine="482" w:firstLineChars="0"/>
        <w:jc w:val="right"/>
        <w:outlineLvl w:val="1"/>
        <w:rPr>
          <w:rFonts w:ascii="宋体" w:hAnsi="宋体" w:eastAsia="宋体"/>
          <w:b/>
          <w:bCs/>
          <w:kern w:val="2"/>
          <w:sz w:val="24"/>
          <w:szCs w:val="24"/>
        </w:rPr>
      </w:pPr>
      <w:r>
        <w:rPr>
          <w:rFonts w:hint="eastAsia" w:ascii="宋体" w:hAnsi="宋体" w:eastAsia="宋体"/>
          <w:b/>
          <w:bCs/>
          <w:kern w:val="2"/>
          <w:sz w:val="24"/>
          <w:szCs w:val="24"/>
        </w:rPr>
        <w:t>编号：2025-001</w:t>
      </w:r>
    </w:p>
    <w:tbl>
      <w:tblPr>
        <w:tblStyle w:val="9"/>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0"/>
        <w:gridCol w:w="6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投资者关系活动类别</w:t>
            </w:r>
          </w:p>
          <w:p>
            <w:pPr>
              <w:widowControl w:val="0"/>
              <w:spacing w:line="360" w:lineRule="auto"/>
              <w:ind w:firstLine="482" w:firstLineChars="0"/>
              <w:jc w:val="center"/>
              <w:rPr>
                <w:rFonts w:ascii="宋体" w:hAnsi="宋体" w:eastAsia="宋体"/>
                <w:b/>
                <w:bCs/>
                <w:iCs/>
                <w:kern w:val="2"/>
                <w:sz w:val="24"/>
                <w:szCs w:val="24"/>
                <w:highlight w:val="none"/>
              </w:rPr>
            </w:pPr>
          </w:p>
        </w:tc>
        <w:tc>
          <w:tcPr>
            <w:tcW w:w="6764" w:type="dxa"/>
          </w:tcPr>
          <w:p>
            <w:pPr>
              <w:widowControl w:val="0"/>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kern w:val="2"/>
                <w:sz w:val="24"/>
                <w:szCs w:val="24"/>
                <w:highlight w:val="none"/>
              </w:rPr>
              <w:t xml:space="preserve">√特定对象调研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分析师会议</w:t>
            </w:r>
          </w:p>
          <w:p>
            <w:pPr>
              <w:widowControl w:val="0"/>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 xml:space="preserve">媒体采访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业绩说明会</w:t>
            </w:r>
          </w:p>
          <w:p>
            <w:pPr>
              <w:widowControl w:val="0"/>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 xml:space="preserve">新闻发布会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路演活动</w:t>
            </w:r>
          </w:p>
          <w:p>
            <w:pPr>
              <w:widowControl w:val="0"/>
              <w:tabs>
                <w:tab w:val="left" w:pos="2690"/>
                <w:tab w:val="center" w:pos="3199"/>
              </w:tabs>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 xml:space="preserve">现场参观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电话会议</w:t>
            </w:r>
          </w:p>
          <w:p>
            <w:pPr>
              <w:widowControl w:val="0"/>
              <w:tabs>
                <w:tab w:val="center" w:pos="3199"/>
              </w:tabs>
              <w:spacing w:line="360" w:lineRule="auto"/>
              <w:ind w:firstLine="480" w:firstLineChars="0"/>
              <w:jc w:val="both"/>
              <w:rPr>
                <w:rFonts w:ascii="宋体" w:hAnsi="宋体" w:eastAsia="宋体"/>
                <w:kern w:val="2"/>
                <w:sz w:val="24"/>
                <w:szCs w:val="24"/>
                <w:highlight w:val="none"/>
                <w:u w:val="singl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其他 （</w:t>
            </w:r>
            <w:r>
              <w:rPr>
                <w:rFonts w:hint="eastAsia" w:ascii="宋体" w:hAnsi="宋体" w:eastAsia="宋体"/>
                <w:kern w:val="2"/>
                <w:sz w:val="24"/>
                <w:szCs w:val="24"/>
                <w:highlight w:val="none"/>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参与单位名称</w:t>
            </w:r>
          </w:p>
        </w:tc>
        <w:tc>
          <w:tcPr>
            <w:tcW w:w="6764" w:type="dxa"/>
            <w:vAlign w:val="center"/>
          </w:tcPr>
          <w:p>
            <w:pPr>
              <w:widowControl w:val="0"/>
              <w:tabs>
                <w:tab w:val="center" w:pos="2798"/>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长江证券、中金资管、鹏扬基金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会议时间</w:t>
            </w:r>
          </w:p>
        </w:tc>
        <w:tc>
          <w:tcPr>
            <w:tcW w:w="6764" w:type="dxa"/>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2025年2月14日9:00</w:t>
            </w:r>
            <w:r>
              <w:rPr>
                <w:rFonts w:ascii="宋体" w:hAnsi="宋体" w:eastAsia="宋体"/>
                <w:bCs/>
                <w:iCs/>
                <w:kern w:val="2"/>
                <w:sz w:val="24"/>
                <w:szCs w:val="24"/>
                <w:highlight w:val="none"/>
              </w:rPr>
              <w:t>-1</w:t>
            </w:r>
            <w:r>
              <w:rPr>
                <w:rFonts w:hint="eastAsia" w:ascii="宋体" w:hAnsi="宋体" w:eastAsia="宋体"/>
                <w:bCs/>
                <w:iCs/>
                <w:kern w:val="2"/>
                <w:sz w:val="24"/>
                <w:szCs w:val="24"/>
                <w:highlight w:val="none"/>
              </w:rPr>
              <w:t>0:3</w:t>
            </w:r>
            <w:r>
              <w:rPr>
                <w:rFonts w:ascii="宋体" w:hAnsi="宋体" w:eastAsia="宋体"/>
                <w:bCs/>
                <w:iCs/>
                <w:kern w:val="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会议地点</w:t>
            </w:r>
          </w:p>
        </w:tc>
        <w:tc>
          <w:tcPr>
            <w:tcW w:w="6764" w:type="dxa"/>
            <w:vAlign w:val="center"/>
          </w:tcPr>
          <w:p>
            <w:pPr>
              <w:widowControl w:val="0"/>
              <w:wordWrap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上市公司接待人员姓名</w:t>
            </w:r>
          </w:p>
        </w:tc>
        <w:tc>
          <w:tcPr>
            <w:tcW w:w="6764" w:type="dxa"/>
            <w:vAlign w:val="center"/>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黄兴良、苏敏、潘超、吴锡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trPr>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投资者关系活动主要内容介绍</w:t>
            </w:r>
          </w:p>
        </w:tc>
        <w:tc>
          <w:tcPr>
            <w:tcW w:w="6764" w:type="dxa"/>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Q1.目前防弹用纤维的价格会相对高一些吗？</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答：目前防弹用纤维多数是自用，对外销售的价格也比民用价格高一些。</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Q2.去年一季度的收入下滑主要是什么原因？</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答：一是春节假期影响，二是出口政策当时还没有明朗，三是复合材料制品受经济形势、国际局势等多种因素影响，二季度政策明确后有恢复的趋势。</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Q3.公司在各应用领域的产品结构是什么样的？</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答：公司主要应用领域为海洋工程和防弹领域。海洋工程方面来说，海洋防护、近海养殖等未来都有比较好的发展空间。增强材料未来可能也会有一些增量，价值量比较可观。</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Q4.公司在纺织服装领域的进展怎么样？</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答：受限于现有的加工技术，在纺织服装领域一些技术问题还有待解决。</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Q5.目前超高分子量聚乙烯纤维和芳纶纤维在防弹领域的应用情况怎么样？</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对位芳纶纤维在防弹衣和防弹板上的应用基本上被超高分子量聚乙烯纤维替代。芳纶纤维的密度更高，同类型的高等级防护产品，芳纶纤维制品要比超高分子量聚乙烯纤维制品重30%左右。在防弹头盔的应用方面，目前超高分子量聚乙烯纤维在防弹头盔方面也在逐步替代芳纶纤维。</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Q6.公司在机器人灵巧手方面的应用有什么进展？</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答：公司已经对接了一些需求，目前在积极的推进研发进展，国内外大部分企业应该都处于尝试阶段。</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Q7.公司的超高分子量聚乙烯纤维如果应用到机器人灵巧手方面，价格能达到百万/吨级别吗？</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答：目前还不能确定。</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Q8.从公司的角度，粗略估计在民用领域公司能占多少份额？</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答：从全球市场来看，大约能占13%-16%左右。公司收购优和博后，产能有了大规模增长，在民用领域的占有率有大幅提升。</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Q9.公司怎么看待现在的竞争格局？</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答：同业公司目前都有新建产能的动作，但能否真正投产还受限于资金、市场等多重因素。公司有先发优势、市场优势、产品优势、资质优势、品牌等竞争优势。</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Q10.国外的竞争对手的产品价格会高一些吗？</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答：价格会相对高一些，同时成本也更高一些。</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w:t>
            </w:r>
            <w:r>
              <w:rPr>
                <w:rFonts w:hint="eastAsia" w:ascii="宋体" w:hAnsi="宋体" w:eastAsia="宋体"/>
                <w:bCs/>
                <w:iCs/>
                <w:kern w:val="2"/>
                <w:sz w:val="24"/>
                <w:szCs w:val="24"/>
                <w:highlight w:val="none"/>
                <w:lang w:val="en-US" w:eastAsia="zh-CN"/>
              </w:rPr>
              <w:t>1</w:t>
            </w:r>
            <w:r>
              <w:rPr>
                <w:rFonts w:hint="eastAsia" w:ascii="宋体" w:hAnsi="宋体" w:eastAsia="宋体"/>
                <w:bCs/>
                <w:iCs/>
                <w:kern w:val="2"/>
                <w:sz w:val="24"/>
                <w:szCs w:val="24"/>
                <w:highlight w:val="none"/>
              </w:rPr>
              <w:t>.超美斯后续会做技改吗？什么时候并表？</w:t>
            </w:r>
          </w:p>
          <w:p>
            <w:pPr>
              <w:widowControl w:val="0"/>
              <w:tabs>
                <w:tab w:val="center" w:pos="3274"/>
              </w:tabs>
              <w:spacing w:line="360" w:lineRule="auto"/>
              <w:ind w:firstLine="0" w:firstLineChars="0"/>
              <w:jc w:val="both"/>
              <w:rPr>
                <w:rFonts w:hint="eastAsia" w:ascii="宋体" w:hAnsi="宋体" w:eastAsia="宋体"/>
                <w:bCs/>
                <w:iCs/>
                <w:kern w:val="2"/>
                <w:sz w:val="24"/>
                <w:szCs w:val="24"/>
                <w:highlight w:val="none"/>
                <w:lang w:val="en-US" w:eastAsia="zh-CN"/>
              </w:rPr>
            </w:pPr>
            <w:r>
              <w:rPr>
                <w:rFonts w:hint="eastAsia" w:ascii="宋体" w:hAnsi="宋体" w:eastAsia="宋体"/>
                <w:bCs/>
                <w:iCs/>
                <w:kern w:val="2"/>
                <w:sz w:val="24"/>
                <w:szCs w:val="24"/>
                <w:highlight w:val="none"/>
              </w:rPr>
              <w:t>答：超美斯后续会有产能置换和技术改造，2025年1月1日并表</w:t>
            </w:r>
            <w:r>
              <w:rPr>
                <w:rFonts w:hint="eastAsia" w:ascii="宋体" w:hAnsi="宋体" w:eastAsia="宋体"/>
                <w:bCs/>
                <w:iCs/>
                <w:kern w:val="2"/>
                <w:sz w:val="24"/>
                <w:szCs w:val="24"/>
                <w:highlight w:val="none"/>
                <w:lang w:eastAsia="zh-CN"/>
              </w:rPr>
              <w:t>。</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w:t>
            </w:r>
            <w:r>
              <w:rPr>
                <w:rFonts w:hint="eastAsia" w:ascii="宋体" w:hAnsi="宋体" w:eastAsia="宋体"/>
                <w:bCs/>
                <w:iCs/>
                <w:kern w:val="2"/>
                <w:sz w:val="24"/>
                <w:szCs w:val="24"/>
                <w:highlight w:val="none"/>
                <w:lang w:val="en-US" w:eastAsia="zh-CN"/>
              </w:rPr>
              <w:t>2</w:t>
            </w:r>
            <w:r>
              <w:rPr>
                <w:rFonts w:hint="eastAsia" w:ascii="宋体" w:hAnsi="宋体" w:eastAsia="宋体"/>
                <w:bCs/>
                <w:iCs/>
                <w:kern w:val="2"/>
                <w:sz w:val="24"/>
                <w:szCs w:val="24"/>
                <w:highlight w:val="none"/>
              </w:rPr>
              <w:t>.无纬布是根据订单确定要自用多少纤维吗？</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答：是根据订单确定的。</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w:t>
            </w:r>
            <w:r>
              <w:rPr>
                <w:rFonts w:hint="eastAsia" w:ascii="宋体" w:hAnsi="宋体" w:eastAsia="宋体"/>
                <w:bCs/>
                <w:iCs/>
                <w:kern w:val="2"/>
                <w:sz w:val="24"/>
                <w:szCs w:val="24"/>
                <w:highlight w:val="none"/>
                <w:lang w:val="en-US" w:eastAsia="zh-CN"/>
              </w:rPr>
              <w:t>3</w:t>
            </w:r>
            <w:r>
              <w:rPr>
                <w:rFonts w:hint="eastAsia" w:ascii="宋体" w:hAnsi="宋体" w:eastAsia="宋体"/>
                <w:bCs/>
                <w:iCs/>
                <w:kern w:val="2"/>
                <w:sz w:val="24"/>
                <w:szCs w:val="24"/>
                <w:highlight w:val="none"/>
              </w:rPr>
              <w:t>.公司认为民用领域的竞争到底部了吗？</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答：宏观来说，公司认为目前是逐步触底的盘整阶段。</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w:t>
            </w:r>
            <w:r>
              <w:rPr>
                <w:rFonts w:hint="eastAsia" w:ascii="宋体" w:hAnsi="宋体" w:eastAsia="宋体"/>
                <w:bCs/>
                <w:iCs/>
                <w:kern w:val="2"/>
                <w:sz w:val="24"/>
                <w:szCs w:val="24"/>
                <w:highlight w:val="none"/>
                <w:lang w:val="en-US" w:eastAsia="zh-CN"/>
              </w:rPr>
              <w:t>4</w:t>
            </w:r>
            <w:r>
              <w:rPr>
                <w:rFonts w:hint="eastAsia" w:ascii="宋体" w:hAnsi="宋体" w:eastAsia="宋体"/>
                <w:bCs/>
                <w:iCs/>
                <w:kern w:val="2"/>
                <w:sz w:val="24"/>
                <w:szCs w:val="24"/>
                <w:highlight w:val="none"/>
              </w:rPr>
              <w:t>.公司怎么点评现在的经营情况？</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整体来看公司的经营情况逐步向好，竞争实力逐步增强。公司产品性能处于国内领先水平，随着产能规模扩大，纤维和无纬布的产销量都有大幅提升，市场占有率稳步提升。收购超美斯后，拓展新赛道会带来新的增长点。</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w:t>
            </w:r>
            <w:r>
              <w:rPr>
                <w:rFonts w:hint="eastAsia" w:ascii="宋体" w:hAnsi="宋体" w:eastAsia="宋体"/>
                <w:bCs/>
                <w:iCs/>
                <w:kern w:val="2"/>
                <w:sz w:val="24"/>
                <w:szCs w:val="24"/>
                <w:highlight w:val="none"/>
                <w:lang w:val="en-US" w:eastAsia="zh-CN"/>
              </w:rPr>
              <w:t>5</w:t>
            </w:r>
            <w:r>
              <w:rPr>
                <w:rFonts w:hint="eastAsia" w:ascii="宋体" w:hAnsi="宋体" w:eastAsia="宋体"/>
                <w:bCs/>
                <w:iCs/>
                <w:kern w:val="2"/>
                <w:sz w:val="24"/>
                <w:szCs w:val="24"/>
                <w:highlight w:val="none"/>
              </w:rPr>
              <w:t>.关税对公司的影响大吗？</w:t>
            </w:r>
          </w:p>
          <w:p>
            <w:pPr>
              <w:widowControl w:val="0"/>
              <w:tabs>
                <w:tab w:val="center" w:pos="3274"/>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答：关税对公司的影响不大。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附件清单（如有）</w:t>
            </w:r>
          </w:p>
        </w:tc>
        <w:tc>
          <w:tcPr>
            <w:tcW w:w="6764" w:type="dxa"/>
            <w:vAlign w:val="center"/>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日期</w:t>
            </w:r>
          </w:p>
        </w:tc>
        <w:tc>
          <w:tcPr>
            <w:tcW w:w="6764" w:type="dxa"/>
            <w:vAlign w:val="center"/>
          </w:tcPr>
          <w:p>
            <w:pPr>
              <w:widowControl w:val="0"/>
              <w:spacing w:line="360" w:lineRule="auto"/>
              <w:ind w:firstLine="0" w:firstLineChars="0"/>
              <w:jc w:val="both"/>
              <w:rPr>
                <w:rFonts w:ascii="宋体" w:hAnsi="宋体" w:eastAsia="宋体"/>
                <w:iCs/>
                <w:kern w:val="2"/>
                <w:sz w:val="24"/>
                <w:szCs w:val="24"/>
                <w:highlight w:val="none"/>
              </w:rPr>
            </w:pPr>
            <w:r>
              <w:rPr>
                <w:rFonts w:hint="eastAsia" w:ascii="宋体" w:hAnsi="宋体" w:eastAsia="宋体"/>
                <w:iCs/>
                <w:kern w:val="2"/>
                <w:sz w:val="24"/>
                <w:szCs w:val="24"/>
                <w:highlight w:val="none"/>
              </w:rPr>
              <w:t>2025年2月14日</w:t>
            </w:r>
          </w:p>
        </w:tc>
      </w:tr>
    </w:tbl>
    <w:p>
      <w:pPr>
        <w:ind w:firstLine="643"/>
        <w:rPr>
          <w:rFonts w:ascii="宋体" w:hAnsi="宋体" w:eastAsia="宋体"/>
          <w:b/>
          <w:bCs/>
          <w:kern w:val="2"/>
        </w:rPr>
      </w:pPr>
      <w:r>
        <w:rPr>
          <w:rFonts w:hint="eastAsia" w:ascii="宋体" w:hAnsi="宋体" w:eastAsia="宋体"/>
          <w:b/>
          <w:bCs/>
          <w:kern w:val="2"/>
        </w:rPr>
        <w:br w:type="page"/>
      </w:r>
    </w:p>
    <w:p>
      <w:pPr>
        <w:keepNext/>
        <w:keepLines/>
        <w:widowControl w:val="0"/>
        <w:spacing w:before="156" w:beforeLines="50" w:after="156" w:afterLines="50" w:line="360" w:lineRule="auto"/>
        <w:ind w:firstLine="0" w:firstLineChars="0"/>
        <w:jc w:val="center"/>
        <w:outlineLvl w:val="1"/>
        <w:rPr>
          <w:rFonts w:ascii="宋体" w:hAnsi="宋体" w:eastAsia="宋体"/>
          <w:b/>
          <w:bCs/>
          <w:kern w:val="2"/>
        </w:rPr>
      </w:pPr>
      <w:r>
        <w:rPr>
          <w:rFonts w:hint="eastAsia" w:ascii="宋体" w:hAnsi="宋体" w:eastAsia="宋体"/>
          <w:b/>
          <w:bCs/>
          <w:kern w:val="2"/>
        </w:rPr>
        <w:t>投资者关系活动记录表</w:t>
      </w:r>
    </w:p>
    <w:p>
      <w:pPr>
        <w:keepNext/>
        <w:keepLines/>
        <w:widowControl w:val="0"/>
        <w:spacing w:before="260" w:after="260" w:line="360" w:lineRule="auto"/>
        <w:ind w:firstLine="482" w:firstLineChars="0"/>
        <w:jc w:val="right"/>
        <w:outlineLvl w:val="1"/>
        <w:rPr>
          <w:rFonts w:ascii="宋体" w:hAnsi="宋体" w:eastAsia="宋体"/>
          <w:b/>
          <w:bCs/>
          <w:kern w:val="2"/>
          <w:sz w:val="24"/>
          <w:szCs w:val="24"/>
        </w:rPr>
      </w:pPr>
      <w:r>
        <w:rPr>
          <w:rFonts w:hint="eastAsia" w:ascii="宋体" w:hAnsi="宋体" w:eastAsia="宋体"/>
          <w:b/>
          <w:bCs/>
          <w:kern w:val="2"/>
          <w:sz w:val="24"/>
          <w:szCs w:val="24"/>
        </w:rPr>
        <w:t>编号：2025-002</w:t>
      </w:r>
    </w:p>
    <w:tbl>
      <w:tblPr>
        <w:tblStyle w:val="9"/>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0"/>
        <w:gridCol w:w="6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投资者关系活动类别</w:t>
            </w:r>
          </w:p>
          <w:p>
            <w:pPr>
              <w:widowControl w:val="0"/>
              <w:spacing w:line="360" w:lineRule="auto"/>
              <w:ind w:firstLine="482" w:firstLineChars="0"/>
              <w:jc w:val="center"/>
              <w:rPr>
                <w:rFonts w:ascii="宋体" w:hAnsi="宋体" w:eastAsia="宋体"/>
                <w:b/>
                <w:bCs/>
                <w:iCs/>
                <w:kern w:val="2"/>
                <w:sz w:val="24"/>
                <w:szCs w:val="24"/>
                <w:highlight w:val="none"/>
              </w:rPr>
            </w:pPr>
          </w:p>
        </w:tc>
        <w:tc>
          <w:tcPr>
            <w:tcW w:w="6764" w:type="dxa"/>
          </w:tcPr>
          <w:p>
            <w:pPr>
              <w:widowControl w:val="0"/>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kern w:val="2"/>
                <w:sz w:val="24"/>
                <w:szCs w:val="24"/>
                <w:highlight w:val="none"/>
              </w:rPr>
              <w:t xml:space="preserve">√特定对象调研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分析师会议</w:t>
            </w:r>
          </w:p>
          <w:p>
            <w:pPr>
              <w:widowControl w:val="0"/>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 xml:space="preserve">媒体采访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业绩说明会</w:t>
            </w:r>
          </w:p>
          <w:p>
            <w:pPr>
              <w:widowControl w:val="0"/>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 xml:space="preserve">新闻发布会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路演活动</w:t>
            </w:r>
          </w:p>
          <w:p>
            <w:pPr>
              <w:widowControl w:val="0"/>
              <w:tabs>
                <w:tab w:val="left" w:pos="2690"/>
                <w:tab w:val="center" w:pos="3199"/>
              </w:tabs>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 xml:space="preserve">现场参观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电话会议</w:t>
            </w:r>
          </w:p>
          <w:p>
            <w:pPr>
              <w:widowControl w:val="0"/>
              <w:tabs>
                <w:tab w:val="center" w:pos="3199"/>
              </w:tabs>
              <w:spacing w:line="360" w:lineRule="auto"/>
              <w:ind w:firstLine="480" w:firstLineChars="0"/>
              <w:jc w:val="both"/>
              <w:rPr>
                <w:rFonts w:ascii="宋体" w:hAnsi="宋体" w:eastAsia="宋体"/>
                <w:kern w:val="2"/>
                <w:sz w:val="24"/>
                <w:szCs w:val="24"/>
                <w:highlight w:val="none"/>
                <w:u w:val="singl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其他 （</w:t>
            </w:r>
            <w:r>
              <w:rPr>
                <w:rFonts w:hint="eastAsia" w:ascii="宋体" w:hAnsi="宋体" w:eastAsia="宋体"/>
                <w:kern w:val="2"/>
                <w:sz w:val="24"/>
                <w:szCs w:val="24"/>
                <w:highlight w:val="none"/>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参与单位名称</w:t>
            </w:r>
          </w:p>
        </w:tc>
        <w:tc>
          <w:tcPr>
            <w:tcW w:w="6764" w:type="dxa"/>
            <w:vAlign w:val="center"/>
          </w:tcPr>
          <w:p>
            <w:pPr>
              <w:widowControl w:val="0"/>
              <w:tabs>
                <w:tab w:val="center" w:pos="2798"/>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山西证券、泓德基金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会议时间</w:t>
            </w:r>
          </w:p>
        </w:tc>
        <w:tc>
          <w:tcPr>
            <w:tcW w:w="6764" w:type="dxa"/>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2025年2月14日10:30</w:t>
            </w:r>
            <w:r>
              <w:rPr>
                <w:rFonts w:ascii="宋体" w:hAnsi="宋体" w:eastAsia="宋体"/>
                <w:bCs/>
                <w:iCs/>
                <w:kern w:val="2"/>
                <w:sz w:val="24"/>
                <w:szCs w:val="24"/>
                <w:highlight w:val="none"/>
              </w:rPr>
              <w:t>-1</w:t>
            </w:r>
            <w:r>
              <w:rPr>
                <w:rFonts w:hint="eastAsia" w:ascii="宋体" w:hAnsi="宋体" w:eastAsia="宋体"/>
                <w:bCs/>
                <w:iCs/>
                <w:kern w:val="2"/>
                <w:sz w:val="24"/>
                <w:szCs w:val="24"/>
                <w:highlight w:val="none"/>
              </w:rPr>
              <w:t>2:0</w:t>
            </w:r>
            <w:r>
              <w:rPr>
                <w:rFonts w:ascii="宋体" w:hAnsi="宋体" w:eastAsia="宋体"/>
                <w:bCs/>
                <w:iCs/>
                <w:kern w:val="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会议地点</w:t>
            </w:r>
          </w:p>
        </w:tc>
        <w:tc>
          <w:tcPr>
            <w:tcW w:w="6764" w:type="dxa"/>
            <w:vAlign w:val="center"/>
          </w:tcPr>
          <w:p>
            <w:pPr>
              <w:widowControl w:val="0"/>
              <w:wordWrap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上市公司接待人员姓名</w:t>
            </w:r>
          </w:p>
        </w:tc>
        <w:tc>
          <w:tcPr>
            <w:tcW w:w="6764" w:type="dxa"/>
            <w:vAlign w:val="center"/>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黄兴良、苏敏、潘超、吴锡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投资者关系活动主要内容介绍</w:t>
            </w:r>
          </w:p>
        </w:tc>
        <w:tc>
          <w:tcPr>
            <w:tcW w:w="6764" w:type="dxa"/>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Q1.公司在传统领域的地位比较稳固，走上这条技术路线是什么契机？</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从企业的发展使命来说，超高分子量聚乙烯纤维当时是禁止向中国出口的战略物资，军队及特种任务缺乏防弹材料，同益中承担了国家研发任务，取得了多项研发成果，获得了国家科技进步二等奖。超高分子量聚乙烯纤维分为干法和湿法两条技术路线，湿法路线有不同的溶剂类别，同益中摸索过多种技术路线，综合来说湿法路线对公司来说是相对有竞争力的。</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Q2.公司收购超美斯有走国资流程吗？</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答：公司的收购事项是由同益中发起并经董事会审批通过的，同时也有国资审批流程。</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Q3.公司收购时没有考虑增发融资吗？</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答：公司的决策都是从维护投资者权益的角度出发，作为央企控股上市公司，公司现金流稳健，资金成本较低，没有进行增发融资。</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Q4.公司怎么看待竞争格局？</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对于新兴产业来说，成本会随着技术的迭代而逐步下降，同时在国家政策的积极引导下，资源会向战略新兴产业集聚，新进入者会逐步增加。公司上市后产能逐步增加，规模效应日益显现，同时技术不断迭代更新，公司的产品性能、生产效率随着工艺的稳定和生产环节的优化，会逐步进入成熟阶段。虽然行业内的无序竞争对公司有一定影响，但公司有较强的竞争实力，影响相对可控。</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Q5.同业上市公司复合材料业务规模大吗？</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答：复合材料资质证书的取得有一定难度，从现在能获取到的信息来看，同业上市公司复合材料业务占比比较少，公司的资质证书是齐全的。</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Q6.2024年，从下游领域来看，纤维的最终下游是不是防弹领域较多？</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答：除防弹领域之外，海洋工程、手套等是纤维的主要下游领域，子公司优和博主要是民用领域。</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Q7.公司怎么展望2025年的情况？</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答：目前来看各方面的因素都有，有利的因素可能相对较多，公司的竞争实力、明确的出口政策</w:t>
            </w:r>
            <w:r>
              <w:rPr>
                <w:rFonts w:hint="eastAsia" w:ascii="宋体" w:hAnsi="宋体" w:eastAsia="宋体"/>
                <w:bCs/>
                <w:iCs/>
                <w:kern w:val="2"/>
                <w:sz w:val="24"/>
                <w:szCs w:val="24"/>
                <w:highlight w:val="none"/>
                <w:lang w:eastAsia="zh-CN"/>
              </w:rPr>
              <w:t>、</w:t>
            </w:r>
            <w:bookmarkStart w:id="0" w:name="_GoBack"/>
            <w:bookmarkEnd w:id="0"/>
            <w:r>
              <w:rPr>
                <w:rFonts w:hint="eastAsia" w:ascii="宋体" w:hAnsi="宋体" w:eastAsia="宋体"/>
                <w:bCs/>
                <w:iCs/>
                <w:kern w:val="2"/>
                <w:sz w:val="24"/>
                <w:szCs w:val="24"/>
                <w:highlight w:val="none"/>
              </w:rPr>
              <w:t>汇率的变动可能都会有积极的影响，总体来看稳步向好。</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Q8.国外市场未来怎么展望？</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答：政策规范后，政策带来的不利影响基本出清，出口业务会稳步恢复。</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Q9.防刺材料有没有个人产品？</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答：公司有这方面的产品，但国内社会环境比较安定，国内个人防刺产品市场有限，会向国外出口一些个人防刺产品。</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Q10.如果未来公司有新增产能的话，市场有能力消化吗？</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答：随着价格下降，市场应用领域增加，需求会增加，新增产能会出清行业内的落后产能，需求也会增加，同时公司市场开拓能力也较强。</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Q11.公司目前有和机器人灵巧手的相关企业有研发合作吗？</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答：目前公司对接了一些需求，正在积极配合研发。</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Q12.芳纶纸主要应用于哪些方面？</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答：主要是绝缘方面和航空方面。</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Q13.公司2024年度有分红计划吗？</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答：目前公司在筹划研讨，如有分红计划会依规披露。</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Q14.纤维和复合材料产品均价还有下降风险吗？</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答：公司认为目前综合价格处于底部盘整阶段，个别产品规格会有价格波动，同时成本端也有下降的空间。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附件清单（如有）</w:t>
            </w:r>
          </w:p>
        </w:tc>
        <w:tc>
          <w:tcPr>
            <w:tcW w:w="6764" w:type="dxa"/>
            <w:vAlign w:val="center"/>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日期</w:t>
            </w:r>
          </w:p>
        </w:tc>
        <w:tc>
          <w:tcPr>
            <w:tcW w:w="6764" w:type="dxa"/>
            <w:vAlign w:val="center"/>
          </w:tcPr>
          <w:p>
            <w:pPr>
              <w:widowControl w:val="0"/>
              <w:spacing w:line="360" w:lineRule="auto"/>
              <w:ind w:firstLine="0" w:firstLineChars="0"/>
              <w:jc w:val="both"/>
              <w:rPr>
                <w:rFonts w:ascii="宋体" w:hAnsi="宋体" w:eastAsia="宋体"/>
                <w:iCs/>
                <w:kern w:val="2"/>
                <w:sz w:val="24"/>
                <w:szCs w:val="24"/>
                <w:highlight w:val="none"/>
              </w:rPr>
            </w:pPr>
            <w:r>
              <w:rPr>
                <w:rFonts w:hint="eastAsia" w:ascii="宋体" w:hAnsi="宋体" w:eastAsia="宋体"/>
                <w:iCs/>
                <w:kern w:val="2"/>
                <w:sz w:val="24"/>
                <w:szCs w:val="24"/>
                <w:highlight w:val="none"/>
              </w:rPr>
              <w:t>2025年2月14日</w:t>
            </w:r>
          </w:p>
        </w:tc>
      </w:tr>
    </w:tbl>
    <w:p>
      <w:pPr>
        <w:ind w:firstLine="0" w:firstLineChars="0"/>
        <w:rPr>
          <w:rFonts w:ascii="宋体" w:hAnsi="宋体" w:eastAsia="宋体"/>
          <w:b/>
          <w:bCs/>
          <w:kern w:val="2"/>
        </w:rPr>
      </w:pPr>
      <w:r>
        <w:rPr>
          <w:rFonts w:hint="eastAsia" w:ascii="宋体" w:hAnsi="宋体" w:eastAsia="宋体"/>
          <w:b/>
          <w:bCs/>
          <w:kern w:val="2"/>
        </w:rPr>
        <w:br w:type="page"/>
      </w:r>
    </w:p>
    <w:p>
      <w:pPr>
        <w:keepNext/>
        <w:keepLines/>
        <w:widowControl w:val="0"/>
        <w:spacing w:before="156" w:beforeLines="50" w:after="156" w:afterLines="50" w:line="360" w:lineRule="auto"/>
        <w:ind w:firstLine="0" w:firstLineChars="0"/>
        <w:jc w:val="center"/>
        <w:outlineLvl w:val="1"/>
        <w:rPr>
          <w:rFonts w:ascii="宋体" w:hAnsi="宋体" w:eastAsia="宋体"/>
          <w:b/>
          <w:bCs/>
          <w:kern w:val="2"/>
        </w:rPr>
      </w:pPr>
      <w:r>
        <w:rPr>
          <w:rFonts w:hint="eastAsia" w:ascii="宋体" w:hAnsi="宋体" w:eastAsia="宋体"/>
          <w:b/>
          <w:bCs/>
          <w:kern w:val="2"/>
        </w:rPr>
        <w:t>投资者关系活动记录表</w:t>
      </w:r>
    </w:p>
    <w:p>
      <w:pPr>
        <w:keepNext/>
        <w:keepLines/>
        <w:widowControl w:val="0"/>
        <w:spacing w:before="260" w:after="260" w:line="360" w:lineRule="auto"/>
        <w:ind w:firstLine="482" w:firstLineChars="0"/>
        <w:jc w:val="right"/>
        <w:outlineLvl w:val="1"/>
        <w:rPr>
          <w:rFonts w:ascii="宋体" w:hAnsi="宋体" w:eastAsia="宋体"/>
          <w:b/>
          <w:bCs/>
          <w:kern w:val="2"/>
          <w:sz w:val="24"/>
          <w:szCs w:val="24"/>
        </w:rPr>
      </w:pPr>
      <w:r>
        <w:rPr>
          <w:rFonts w:hint="eastAsia" w:ascii="宋体" w:hAnsi="宋体" w:eastAsia="宋体"/>
          <w:b/>
          <w:bCs/>
          <w:kern w:val="2"/>
          <w:sz w:val="24"/>
          <w:szCs w:val="24"/>
        </w:rPr>
        <w:t>编号：2025-003</w:t>
      </w:r>
    </w:p>
    <w:tbl>
      <w:tblPr>
        <w:tblStyle w:val="9"/>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0"/>
        <w:gridCol w:w="6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投资者关系活动类别</w:t>
            </w:r>
          </w:p>
          <w:p>
            <w:pPr>
              <w:widowControl w:val="0"/>
              <w:spacing w:line="360" w:lineRule="auto"/>
              <w:ind w:firstLine="482" w:firstLineChars="0"/>
              <w:jc w:val="center"/>
              <w:rPr>
                <w:rFonts w:ascii="宋体" w:hAnsi="宋体" w:eastAsia="宋体"/>
                <w:b/>
                <w:bCs/>
                <w:iCs/>
                <w:kern w:val="2"/>
                <w:sz w:val="24"/>
                <w:szCs w:val="24"/>
                <w:highlight w:val="none"/>
              </w:rPr>
            </w:pPr>
          </w:p>
        </w:tc>
        <w:tc>
          <w:tcPr>
            <w:tcW w:w="6764" w:type="dxa"/>
          </w:tcPr>
          <w:p>
            <w:pPr>
              <w:widowControl w:val="0"/>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kern w:val="2"/>
                <w:sz w:val="24"/>
                <w:szCs w:val="24"/>
                <w:highlight w:val="none"/>
              </w:rPr>
              <w:t xml:space="preserve">√特定对象调研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分析师会议</w:t>
            </w:r>
          </w:p>
          <w:p>
            <w:pPr>
              <w:widowControl w:val="0"/>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 xml:space="preserve">媒体采访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业绩说明会</w:t>
            </w:r>
          </w:p>
          <w:p>
            <w:pPr>
              <w:widowControl w:val="0"/>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 xml:space="preserve">新闻发布会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路演活动</w:t>
            </w:r>
          </w:p>
          <w:p>
            <w:pPr>
              <w:widowControl w:val="0"/>
              <w:tabs>
                <w:tab w:val="left" w:pos="2690"/>
                <w:tab w:val="center" w:pos="3199"/>
              </w:tabs>
              <w:spacing w:line="360" w:lineRule="auto"/>
              <w:ind w:firstLine="48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 xml:space="preserve">现场参观            </w:t>
            </w: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电话会议</w:t>
            </w:r>
          </w:p>
          <w:p>
            <w:pPr>
              <w:widowControl w:val="0"/>
              <w:tabs>
                <w:tab w:val="center" w:pos="3199"/>
              </w:tabs>
              <w:spacing w:line="360" w:lineRule="auto"/>
              <w:ind w:firstLine="480" w:firstLineChars="0"/>
              <w:jc w:val="both"/>
              <w:rPr>
                <w:rFonts w:ascii="宋体" w:hAnsi="宋体" w:eastAsia="宋体"/>
                <w:kern w:val="2"/>
                <w:sz w:val="24"/>
                <w:szCs w:val="24"/>
                <w:highlight w:val="none"/>
                <w:u w:val="single"/>
              </w:rPr>
            </w:pPr>
            <w:r>
              <w:rPr>
                <w:rFonts w:hint="eastAsia" w:ascii="宋体" w:hAnsi="宋体" w:eastAsia="宋体"/>
                <w:bCs/>
                <w:iCs/>
                <w:kern w:val="2"/>
                <w:sz w:val="24"/>
                <w:szCs w:val="24"/>
                <w:highlight w:val="none"/>
              </w:rPr>
              <w:t>□</w:t>
            </w:r>
            <w:r>
              <w:rPr>
                <w:rFonts w:hint="eastAsia" w:ascii="宋体" w:hAnsi="宋体" w:eastAsia="宋体"/>
                <w:kern w:val="2"/>
                <w:sz w:val="24"/>
                <w:szCs w:val="24"/>
                <w:highlight w:val="none"/>
              </w:rPr>
              <w:t>其他 （</w:t>
            </w:r>
            <w:r>
              <w:rPr>
                <w:rFonts w:hint="eastAsia" w:ascii="宋体" w:hAnsi="宋体" w:eastAsia="宋体"/>
                <w:kern w:val="2"/>
                <w:sz w:val="24"/>
                <w:szCs w:val="24"/>
                <w:highlight w:val="none"/>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参与单位名称</w:t>
            </w:r>
          </w:p>
        </w:tc>
        <w:tc>
          <w:tcPr>
            <w:tcW w:w="6764" w:type="dxa"/>
            <w:vAlign w:val="center"/>
          </w:tcPr>
          <w:p>
            <w:pPr>
              <w:widowControl w:val="0"/>
              <w:tabs>
                <w:tab w:val="center" w:pos="2798"/>
              </w:tabs>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中信建投证券、德邦证</w:t>
            </w:r>
            <w:r>
              <w:rPr>
                <w:rFonts w:hint="eastAsia" w:ascii="宋体" w:hAnsi="宋体" w:eastAsia="宋体"/>
                <w:bCs/>
                <w:iCs/>
                <w:color w:val="000000" w:themeColor="text1"/>
                <w:kern w:val="2"/>
                <w:sz w:val="24"/>
                <w:szCs w:val="24"/>
                <w:highlight w:val="none"/>
                <w14:textFill>
                  <w14:solidFill>
                    <w14:schemeClr w14:val="tx1"/>
                  </w14:solidFill>
                </w14:textFill>
              </w:rPr>
              <w:t>券、睿诚投资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会议时间</w:t>
            </w:r>
          </w:p>
        </w:tc>
        <w:tc>
          <w:tcPr>
            <w:tcW w:w="6764" w:type="dxa"/>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2025年2月14日13:30</w:t>
            </w:r>
            <w:r>
              <w:rPr>
                <w:rFonts w:ascii="宋体" w:hAnsi="宋体" w:eastAsia="宋体"/>
                <w:bCs/>
                <w:iCs/>
                <w:kern w:val="2"/>
                <w:sz w:val="24"/>
                <w:szCs w:val="24"/>
                <w:highlight w:val="none"/>
              </w:rPr>
              <w:t>-1</w:t>
            </w:r>
            <w:r>
              <w:rPr>
                <w:rFonts w:hint="eastAsia" w:ascii="宋体" w:hAnsi="宋体" w:eastAsia="宋体"/>
                <w:bCs/>
                <w:iCs/>
                <w:kern w:val="2"/>
                <w:sz w:val="24"/>
                <w:szCs w:val="24"/>
                <w:highlight w:val="none"/>
              </w:rPr>
              <w:t>5:0</w:t>
            </w:r>
            <w:r>
              <w:rPr>
                <w:rFonts w:ascii="宋体" w:hAnsi="宋体" w:eastAsia="宋体"/>
                <w:bCs/>
                <w:iCs/>
                <w:kern w:val="2"/>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会议地点</w:t>
            </w:r>
          </w:p>
        </w:tc>
        <w:tc>
          <w:tcPr>
            <w:tcW w:w="6764" w:type="dxa"/>
            <w:vAlign w:val="center"/>
          </w:tcPr>
          <w:p>
            <w:pPr>
              <w:widowControl w:val="0"/>
              <w:wordWrap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上市公司接待人员姓名</w:t>
            </w:r>
          </w:p>
        </w:tc>
        <w:tc>
          <w:tcPr>
            <w:tcW w:w="6764" w:type="dxa"/>
            <w:vAlign w:val="center"/>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黄兴良、潘超、吴锡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投资者关系活动主要内容介绍</w:t>
            </w:r>
          </w:p>
        </w:tc>
        <w:tc>
          <w:tcPr>
            <w:tcW w:w="6764" w:type="dxa"/>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Q1.公司怎么看待新进入者对公司的影响？</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所处的超高分子量聚乙烯纤维行业属于战略新兴产业，有新进入者表明大家比较看好超高分子量聚乙烯纤维未来的发展前景，同益中更加注重自身实力的提升。从综合实力来说，公司处于行业内第一梯队。从长期看，公司在上市后盈利能力和产能规模屡创新高。从公司自身来看，同益中的竞争实力在稳步增强。一是市占率逐步提升，通过募投项目及收购子公司优和博，产能大幅提升；二是公司的产品性能优异，处于国内领先水平；三是通过贯彻成本领先战略，公司的成本竞争优势属于国内第一梯队；四是公司围绕“3+X”发展战略拓展赛道，收购超美斯是拓展新赛道的第一步。超美斯的主营业务芳纶纸可以应用于航空和绝缘领域，具有较大的发展空间。</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Q2.目前供需情况如何？</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答：公司自身能够达到产销平衡，库存维持在合理水平。</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Q3.公司对于机器人灵巧手方面未来的价量方面有什么看法？</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与相关企业有了一些接触，对接了一些需求，保密要求都比较高，产品的开发还在初级阶段，总体来看机器人灵巧手是比较有前景的领域，公司持续关注该领域的研究进展，组织了专业的研发团队对接相关工作，价量方面根据不同的方案不同。</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Q4.纤维到防弹的价值增量有多少？</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答：高性能纤维制成制品后由于规格型号、客户定制化需求有差异，价值增量不好一概而论，整体上取得比较高的毛利率。</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Q5.灵巧手预计什么时候能有较大的进展？</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答：要看相关行业内的进度。</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Q6.公司与美国厂商的定价差异大吗？</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答：国内外厂家的成本差异较大，相应的价格差异也比较大。</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Q7.公司认为降本的空间在聚合还是纺丝？</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答：公司目前降本主要是通过技术迭代和规模效益实现的。</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Q8.超高分子量聚乙烯纤维对什么材料形成替代？</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答：超高分子量聚乙烯纤维对化纤绳、高强涤纶等纤维都可以形成替代，并且有超高模量、超高强度的优势，可以适用于航空、海洋等多种应用场景。</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Q9.公司收购超美斯后对超美斯的订单有什么影响？</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答：公司收购超美斯后可以通过央企品牌赋能超美斯，助力超美斯开拓市场。</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Q10.现在公司的经营重点在哪里？</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在做好同益中自身生产经营的同时，公司主要推进超美斯的投后整合工作。首先要进行文化整合，其次要进行技术融合，进行融合创新，围绕成本领先战略和差异化战略，打造同益中整体的竞争优势和突破点。</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Q11.能不能评价一下同业公司的技术水平？</w:t>
            </w:r>
          </w:p>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答：公司有多年的技术积累，产品稳定性和综合性能处于国内领先水平。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附件清单（如有）</w:t>
            </w:r>
          </w:p>
        </w:tc>
        <w:tc>
          <w:tcPr>
            <w:tcW w:w="6764" w:type="dxa"/>
            <w:vAlign w:val="center"/>
          </w:tcPr>
          <w:p>
            <w:pPr>
              <w:widowControl w:val="0"/>
              <w:spacing w:line="360" w:lineRule="auto"/>
              <w:ind w:firstLine="0" w:firstLineChars="0"/>
              <w:jc w:val="both"/>
              <w:rPr>
                <w:rFonts w:ascii="宋体" w:hAnsi="宋体" w:eastAsia="宋体"/>
                <w:bCs/>
                <w:iCs/>
                <w:kern w:val="2"/>
                <w:sz w:val="24"/>
                <w:szCs w:val="24"/>
                <w:highlight w:val="none"/>
              </w:rPr>
            </w:pPr>
            <w:r>
              <w:rPr>
                <w:rFonts w:hint="eastAsia" w:ascii="宋体" w:hAnsi="宋体" w:eastAsia="宋体"/>
                <w:bCs/>
                <w:iCs/>
                <w:kern w:val="2"/>
                <w:sz w:val="24"/>
                <w:szCs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0" w:type="dxa"/>
            <w:vAlign w:val="center"/>
          </w:tcPr>
          <w:p>
            <w:pPr>
              <w:widowControl w:val="0"/>
              <w:spacing w:line="360" w:lineRule="auto"/>
              <w:ind w:firstLine="0" w:firstLineChars="0"/>
              <w:jc w:val="center"/>
              <w:rPr>
                <w:rFonts w:ascii="宋体" w:hAnsi="宋体" w:eastAsia="宋体"/>
                <w:b/>
                <w:bCs/>
                <w:iCs/>
                <w:kern w:val="2"/>
                <w:sz w:val="24"/>
                <w:szCs w:val="24"/>
                <w:highlight w:val="none"/>
              </w:rPr>
            </w:pPr>
            <w:r>
              <w:rPr>
                <w:rFonts w:hint="eastAsia" w:ascii="宋体" w:hAnsi="宋体" w:eastAsia="宋体"/>
                <w:b/>
                <w:bCs/>
                <w:iCs/>
                <w:kern w:val="2"/>
                <w:sz w:val="24"/>
                <w:szCs w:val="24"/>
                <w:highlight w:val="none"/>
              </w:rPr>
              <w:t>日期</w:t>
            </w:r>
          </w:p>
        </w:tc>
        <w:tc>
          <w:tcPr>
            <w:tcW w:w="6764" w:type="dxa"/>
            <w:vAlign w:val="center"/>
          </w:tcPr>
          <w:p>
            <w:pPr>
              <w:widowControl w:val="0"/>
              <w:spacing w:line="360" w:lineRule="auto"/>
              <w:ind w:firstLine="0" w:firstLineChars="0"/>
              <w:jc w:val="both"/>
              <w:rPr>
                <w:rFonts w:ascii="宋体" w:hAnsi="宋体" w:eastAsia="宋体"/>
                <w:iCs/>
                <w:kern w:val="2"/>
                <w:sz w:val="24"/>
                <w:szCs w:val="24"/>
                <w:highlight w:val="none"/>
              </w:rPr>
            </w:pPr>
            <w:r>
              <w:rPr>
                <w:rFonts w:hint="eastAsia" w:ascii="宋体" w:hAnsi="宋体" w:eastAsia="宋体"/>
                <w:iCs/>
                <w:kern w:val="2"/>
                <w:sz w:val="24"/>
                <w:szCs w:val="24"/>
                <w:highlight w:val="none"/>
              </w:rPr>
              <w:t>2025年2月14日</w:t>
            </w:r>
          </w:p>
        </w:tc>
      </w:tr>
    </w:tbl>
    <w:p>
      <w:pPr>
        <w:ind w:firstLine="0" w:firstLineChars="0"/>
        <w:rPr>
          <w:rFonts w:ascii="宋体" w:hAnsi="宋体" w:eastAsia="宋体"/>
          <w:b/>
          <w:bCs/>
          <w:kern w:val="2"/>
        </w:rPr>
      </w:pPr>
    </w:p>
    <w:p>
      <w:pPr>
        <w:ind w:firstLine="0" w:firstLineChars="0"/>
        <w:rPr>
          <w:rFonts w:ascii="宋体" w:hAnsi="宋体" w:eastAsia="宋体"/>
          <w:b/>
          <w:bCs/>
          <w:kern w:val="2"/>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5EA"/>
    <w:rsid w:val="00001910"/>
    <w:rsid w:val="000030C3"/>
    <w:rsid w:val="00003451"/>
    <w:rsid w:val="0000349A"/>
    <w:rsid w:val="00005CB1"/>
    <w:rsid w:val="0002000D"/>
    <w:rsid w:val="00022845"/>
    <w:rsid w:val="0003081F"/>
    <w:rsid w:val="00033B53"/>
    <w:rsid w:val="000356DD"/>
    <w:rsid w:val="000359C1"/>
    <w:rsid w:val="000421E4"/>
    <w:rsid w:val="000439B2"/>
    <w:rsid w:val="00043C30"/>
    <w:rsid w:val="00052A0E"/>
    <w:rsid w:val="00053DE0"/>
    <w:rsid w:val="00053DFC"/>
    <w:rsid w:val="00056305"/>
    <w:rsid w:val="00063926"/>
    <w:rsid w:val="00065126"/>
    <w:rsid w:val="0007046D"/>
    <w:rsid w:val="0007652E"/>
    <w:rsid w:val="00076D2E"/>
    <w:rsid w:val="00082B81"/>
    <w:rsid w:val="00083BE4"/>
    <w:rsid w:val="000859E9"/>
    <w:rsid w:val="0008639E"/>
    <w:rsid w:val="0009382D"/>
    <w:rsid w:val="00095A1B"/>
    <w:rsid w:val="00097EE8"/>
    <w:rsid w:val="000A0F55"/>
    <w:rsid w:val="000A2118"/>
    <w:rsid w:val="000A591D"/>
    <w:rsid w:val="000B1741"/>
    <w:rsid w:val="000B1C8B"/>
    <w:rsid w:val="000B6D0C"/>
    <w:rsid w:val="000B7770"/>
    <w:rsid w:val="000C3686"/>
    <w:rsid w:val="000C52AC"/>
    <w:rsid w:val="000C6C5D"/>
    <w:rsid w:val="000C70E2"/>
    <w:rsid w:val="000D6620"/>
    <w:rsid w:val="000D692C"/>
    <w:rsid w:val="000E51FD"/>
    <w:rsid w:val="000F7A06"/>
    <w:rsid w:val="000F7E75"/>
    <w:rsid w:val="00100F6B"/>
    <w:rsid w:val="0010761C"/>
    <w:rsid w:val="0011000C"/>
    <w:rsid w:val="001119A0"/>
    <w:rsid w:val="00113533"/>
    <w:rsid w:val="001152DD"/>
    <w:rsid w:val="00121761"/>
    <w:rsid w:val="00123D47"/>
    <w:rsid w:val="001248F6"/>
    <w:rsid w:val="00127322"/>
    <w:rsid w:val="00127FC3"/>
    <w:rsid w:val="00131552"/>
    <w:rsid w:val="0013327B"/>
    <w:rsid w:val="00135DF2"/>
    <w:rsid w:val="00135F57"/>
    <w:rsid w:val="00143532"/>
    <w:rsid w:val="00150F1B"/>
    <w:rsid w:val="00154F86"/>
    <w:rsid w:val="001550E6"/>
    <w:rsid w:val="001556D2"/>
    <w:rsid w:val="00157CED"/>
    <w:rsid w:val="0016377E"/>
    <w:rsid w:val="001649A6"/>
    <w:rsid w:val="0017151E"/>
    <w:rsid w:val="00173633"/>
    <w:rsid w:val="001807AB"/>
    <w:rsid w:val="00180BCF"/>
    <w:rsid w:val="00182DA9"/>
    <w:rsid w:val="00184A89"/>
    <w:rsid w:val="00186242"/>
    <w:rsid w:val="00190341"/>
    <w:rsid w:val="00190880"/>
    <w:rsid w:val="00191AAA"/>
    <w:rsid w:val="00193B8B"/>
    <w:rsid w:val="00194EF2"/>
    <w:rsid w:val="001A495D"/>
    <w:rsid w:val="001A593A"/>
    <w:rsid w:val="001B0D47"/>
    <w:rsid w:val="001B0E38"/>
    <w:rsid w:val="001B6AE4"/>
    <w:rsid w:val="001B71A3"/>
    <w:rsid w:val="001C5E15"/>
    <w:rsid w:val="001C6E9F"/>
    <w:rsid w:val="001D2D5A"/>
    <w:rsid w:val="001D6386"/>
    <w:rsid w:val="001E10BA"/>
    <w:rsid w:val="001E185F"/>
    <w:rsid w:val="001E1BE5"/>
    <w:rsid w:val="001E2D34"/>
    <w:rsid w:val="001E57D6"/>
    <w:rsid w:val="001E7427"/>
    <w:rsid w:val="001F0723"/>
    <w:rsid w:val="001F70E2"/>
    <w:rsid w:val="00200B7F"/>
    <w:rsid w:val="00201AA9"/>
    <w:rsid w:val="00202121"/>
    <w:rsid w:val="00202387"/>
    <w:rsid w:val="00215717"/>
    <w:rsid w:val="00220873"/>
    <w:rsid w:val="002218E2"/>
    <w:rsid w:val="002229EC"/>
    <w:rsid w:val="00223EB6"/>
    <w:rsid w:val="0022726E"/>
    <w:rsid w:val="002317C4"/>
    <w:rsid w:val="00231CBA"/>
    <w:rsid w:val="00232E50"/>
    <w:rsid w:val="002341D8"/>
    <w:rsid w:val="00234329"/>
    <w:rsid w:val="0024382C"/>
    <w:rsid w:val="00251065"/>
    <w:rsid w:val="002602DB"/>
    <w:rsid w:val="002608BF"/>
    <w:rsid w:val="00261ACD"/>
    <w:rsid w:val="00263AF7"/>
    <w:rsid w:val="00282F25"/>
    <w:rsid w:val="002854E8"/>
    <w:rsid w:val="00290276"/>
    <w:rsid w:val="00292AB1"/>
    <w:rsid w:val="00293C93"/>
    <w:rsid w:val="002944F6"/>
    <w:rsid w:val="002A246F"/>
    <w:rsid w:val="002A5829"/>
    <w:rsid w:val="002A7801"/>
    <w:rsid w:val="002B23D8"/>
    <w:rsid w:val="002B6736"/>
    <w:rsid w:val="002C54BF"/>
    <w:rsid w:val="002D5529"/>
    <w:rsid w:val="002E31E3"/>
    <w:rsid w:val="002F05FF"/>
    <w:rsid w:val="002F218D"/>
    <w:rsid w:val="002F5268"/>
    <w:rsid w:val="00312178"/>
    <w:rsid w:val="00313AE1"/>
    <w:rsid w:val="0031614E"/>
    <w:rsid w:val="003232EE"/>
    <w:rsid w:val="00323919"/>
    <w:rsid w:val="00326FAF"/>
    <w:rsid w:val="00332CC1"/>
    <w:rsid w:val="00332EB2"/>
    <w:rsid w:val="00336F20"/>
    <w:rsid w:val="003420D4"/>
    <w:rsid w:val="00344422"/>
    <w:rsid w:val="0035411A"/>
    <w:rsid w:val="0035471F"/>
    <w:rsid w:val="00356A66"/>
    <w:rsid w:val="00357378"/>
    <w:rsid w:val="003644F0"/>
    <w:rsid w:val="00365A26"/>
    <w:rsid w:val="0036645C"/>
    <w:rsid w:val="00372AAE"/>
    <w:rsid w:val="0037349D"/>
    <w:rsid w:val="003745FB"/>
    <w:rsid w:val="00375B92"/>
    <w:rsid w:val="00381F59"/>
    <w:rsid w:val="0038322C"/>
    <w:rsid w:val="0038615E"/>
    <w:rsid w:val="00387C01"/>
    <w:rsid w:val="003A0D4F"/>
    <w:rsid w:val="003A68AA"/>
    <w:rsid w:val="003B4394"/>
    <w:rsid w:val="003B5D6E"/>
    <w:rsid w:val="003C2A5A"/>
    <w:rsid w:val="003D1F1D"/>
    <w:rsid w:val="003D559E"/>
    <w:rsid w:val="003D6F4E"/>
    <w:rsid w:val="003E085F"/>
    <w:rsid w:val="003E3D23"/>
    <w:rsid w:val="003E4EDE"/>
    <w:rsid w:val="003E7880"/>
    <w:rsid w:val="003F25B0"/>
    <w:rsid w:val="003F27D8"/>
    <w:rsid w:val="003F3015"/>
    <w:rsid w:val="003F559C"/>
    <w:rsid w:val="003F78BD"/>
    <w:rsid w:val="00402ED7"/>
    <w:rsid w:val="00403EA5"/>
    <w:rsid w:val="00403F83"/>
    <w:rsid w:val="00405B3F"/>
    <w:rsid w:val="00405FF8"/>
    <w:rsid w:val="00407706"/>
    <w:rsid w:val="00411F52"/>
    <w:rsid w:val="004206ED"/>
    <w:rsid w:val="004227AA"/>
    <w:rsid w:val="00422C96"/>
    <w:rsid w:val="004249A5"/>
    <w:rsid w:val="00425275"/>
    <w:rsid w:val="0042662B"/>
    <w:rsid w:val="00427568"/>
    <w:rsid w:val="00434241"/>
    <w:rsid w:val="00447B15"/>
    <w:rsid w:val="00453E7F"/>
    <w:rsid w:val="00454405"/>
    <w:rsid w:val="00454408"/>
    <w:rsid w:val="00456871"/>
    <w:rsid w:val="00456C60"/>
    <w:rsid w:val="0046532D"/>
    <w:rsid w:val="00471DC5"/>
    <w:rsid w:val="004731A5"/>
    <w:rsid w:val="0047557D"/>
    <w:rsid w:val="00476ADA"/>
    <w:rsid w:val="00476BA7"/>
    <w:rsid w:val="004873B0"/>
    <w:rsid w:val="00494F74"/>
    <w:rsid w:val="004960A7"/>
    <w:rsid w:val="004A4198"/>
    <w:rsid w:val="004C05DF"/>
    <w:rsid w:val="004C32E3"/>
    <w:rsid w:val="004C35E2"/>
    <w:rsid w:val="004C55F9"/>
    <w:rsid w:val="004C5C15"/>
    <w:rsid w:val="004D0499"/>
    <w:rsid w:val="004D4B52"/>
    <w:rsid w:val="004D57D0"/>
    <w:rsid w:val="004D642E"/>
    <w:rsid w:val="004D74C0"/>
    <w:rsid w:val="004E0365"/>
    <w:rsid w:val="004E2C69"/>
    <w:rsid w:val="004E2E47"/>
    <w:rsid w:val="004E2FEA"/>
    <w:rsid w:val="004E7B6B"/>
    <w:rsid w:val="004F00F8"/>
    <w:rsid w:val="004F2783"/>
    <w:rsid w:val="004F3983"/>
    <w:rsid w:val="004F3B24"/>
    <w:rsid w:val="00500016"/>
    <w:rsid w:val="00504054"/>
    <w:rsid w:val="0050657C"/>
    <w:rsid w:val="00510E78"/>
    <w:rsid w:val="005132A6"/>
    <w:rsid w:val="00513E2D"/>
    <w:rsid w:val="00514776"/>
    <w:rsid w:val="00516E7B"/>
    <w:rsid w:val="00522547"/>
    <w:rsid w:val="005271C6"/>
    <w:rsid w:val="00527B9E"/>
    <w:rsid w:val="00532810"/>
    <w:rsid w:val="00537329"/>
    <w:rsid w:val="00537FCB"/>
    <w:rsid w:val="005465EB"/>
    <w:rsid w:val="0055305C"/>
    <w:rsid w:val="0056051B"/>
    <w:rsid w:val="00561802"/>
    <w:rsid w:val="00562731"/>
    <w:rsid w:val="00562B9E"/>
    <w:rsid w:val="0056315A"/>
    <w:rsid w:val="005631C7"/>
    <w:rsid w:val="00565D53"/>
    <w:rsid w:val="00567066"/>
    <w:rsid w:val="00570953"/>
    <w:rsid w:val="00571F10"/>
    <w:rsid w:val="00574373"/>
    <w:rsid w:val="00582C94"/>
    <w:rsid w:val="00582DF6"/>
    <w:rsid w:val="00591D72"/>
    <w:rsid w:val="00591F41"/>
    <w:rsid w:val="00596EA8"/>
    <w:rsid w:val="005A0EB8"/>
    <w:rsid w:val="005A18A2"/>
    <w:rsid w:val="005A39E1"/>
    <w:rsid w:val="005A789D"/>
    <w:rsid w:val="005B0420"/>
    <w:rsid w:val="005B0BFA"/>
    <w:rsid w:val="005C14A6"/>
    <w:rsid w:val="005C64CF"/>
    <w:rsid w:val="005D1415"/>
    <w:rsid w:val="005D4614"/>
    <w:rsid w:val="005D5EBB"/>
    <w:rsid w:val="005E0598"/>
    <w:rsid w:val="005E0A87"/>
    <w:rsid w:val="005E1843"/>
    <w:rsid w:val="005E5BF2"/>
    <w:rsid w:val="005E75EB"/>
    <w:rsid w:val="006010E7"/>
    <w:rsid w:val="00602907"/>
    <w:rsid w:val="006031F8"/>
    <w:rsid w:val="0060552C"/>
    <w:rsid w:val="00612CE1"/>
    <w:rsid w:val="006162DC"/>
    <w:rsid w:val="00617093"/>
    <w:rsid w:val="00620F70"/>
    <w:rsid w:val="00623882"/>
    <w:rsid w:val="00625942"/>
    <w:rsid w:val="006278E5"/>
    <w:rsid w:val="006331A1"/>
    <w:rsid w:val="006333DD"/>
    <w:rsid w:val="00633B62"/>
    <w:rsid w:val="00634103"/>
    <w:rsid w:val="006447A3"/>
    <w:rsid w:val="00653FE5"/>
    <w:rsid w:val="00655B21"/>
    <w:rsid w:val="006574F9"/>
    <w:rsid w:val="006600C3"/>
    <w:rsid w:val="0066060F"/>
    <w:rsid w:val="006631FD"/>
    <w:rsid w:val="0066320D"/>
    <w:rsid w:val="00671E5A"/>
    <w:rsid w:val="006721FD"/>
    <w:rsid w:val="0067489C"/>
    <w:rsid w:val="00677FCD"/>
    <w:rsid w:val="00682E4B"/>
    <w:rsid w:val="006847D4"/>
    <w:rsid w:val="0068608F"/>
    <w:rsid w:val="0068764B"/>
    <w:rsid w:val="006A45FC"/>
    <w:rsid w:val="006A5BC2"/>
    <w:rsid w:val="006A6CCD"/>
    <w:rsid w:val="006B0371"/>
    <w:rsid w:val="006B581C"/>
    <w:rsid w:val="006B656D"/>
    <w:rsid w:val="006B7437"/>
    <w:rsid w:val="006B7B42"/>
    <w:rsid w:val="006C41E5"/>
    <w:rsid w:val="006D0AA0"/>
    <w:rsid w:val="006D189C"/>
    <w:rsid w:val="006D4B13"/>
    <w:rsid w:val="006D5ABB"/>
    <w:rsid w:val="006F1CF5"/>
    <w:rsid w:val="006F38ED"/>
    <w:rsid w:val="006F4196"/>
    <w:rsid w:val="006F6E9B"/>
    <w:rsid w:val="006F7318"/>
    <w:rsid w:val="0070228D"/>
    <w:rsid w:val="00703D27"/>
    <w:rsid w:val="00704F9E"/>
    <w:rsid w:val="00705456"/>
    <w:rsid w:val="007077C1"/>
    <w:rsid w:val="00710CBA"/>
    <w:rsid w:val="0071164C"/>
    <w:rsid w:val="00711898"/>
    <w:rsid w:val="00711F8C"/>
    <w:rsid w:val="00712F86"/>
    <w:rsid w:val="0071526C"/>
    <w:rsid w:val="00725A0E"/>
    <w:rsid w:val="007304A6"/>
    <w:rsid w:val="00734288"/>
    <w:rsid w:val="007358E4"/>
    <w:rsid w:val="00736A77"/>
    <w:rsid w:val="00741DC4"/>
    <w:rsid w:val="00750877"/>
    <w:rsid w:val="00752255"/>
    <w:rsid w:val="00754332"/>
    <w:rsid w:val="007553F1"/>
    <w:rsid w:val="00756790"/>
    <w:rsid w:val="00757C9C"/>
    <w:rsid w:val="00765E0F"/>
    <w:rsid w:val="00766855"/>
    <w:rsid w:val="0076705F"/>
    <w:rsid w:val="0077076E"/>
    <w:rsid w:val="007723F7"/>
    <w:rsid w:val="0077284A"/>
    <w:rsid w:val="00791A84"/>
    <w:rsid w:val="00793B83"/>
    <w:rsid w:val="00793C13"/>
    <w:rsid w:val="007A204C"/>
    <w:rsid w:val="007A4B09"/>
    <w:rsid w:val="007B0AA0"/>
    <w:rsid w:val="007B3C2B"/>
    <w:rsid w:val="007C1EFD"/>
    <w:rsid w:val="007C307B"/>
    <w:rsid w:val="007C4524"/>
    <w:rsid w:val="007C49A7"/>
    <w:rsid w:val="007C6533"/>
    <w:rsid w:val="007D0B41"/>
    <w:rsid w:val="007D0DCE"/>
    <w:rsid w:val="007D0EEC"/>
    <w:rsid w:val="007D1E69"/>
    <w:rsid w:val="007D5F60"/>
    <w:rsid w:val="007E0EE4"/>
    <w:rsid w:val="007E1268"/>
    <w:rsid w:val="007E15A6"/>
    <w:rsid w:val="007E7586"/>
    <w:rsid w:val="007F5328"/>
    <w:rsid w:val="00803B88"/>
    <w:rsid w:val="00806EA1"/>
    <w:rsid w:val="008112AC"/>
    <w:rsid w:val="00815D5C"/>
    <w:rsid w:val="00822581"/>
    <w:rsid w:val="008254A5"/>
    <w:rsid w:val="00825546"/>
    <w:rsid w:val="008422CA"/>
    <w:rsid w:val="00855F14"/>
    <w:rsid w:val="00862F5D"/>
    <w:rsid w:val="00871975"/>
    <w:rsid w:val="0087222A"/>
    <w:rsid w:val="00872342"/>
    <w:rsid w:val="0089022A"/>
    <w:rsid w:val="00894BC1"/>
    <w:rsid w:val="00897FB6"/>
    <w:rsid w:val="008A1883"/>
    <w:rsid w:val="008B17A1"/>
    <w:rsid w:val="008C217E"/>
    <w:rsid w:val="008C2649"/>
    <w:rsid w:val="008D0B09"/>
    <w:rsid w:val="008D412C"/>
    <w:rsid w:val="008D4237"/>
    <w:rsid w:val="008D53D3"/>
    <w:rsid w:val="008E0660"/>
    <w:rsid w:val="008F00F5"/>
    <w:rsid w:val="008F2ED6"/>
    <w:rsid w:val="009011F4"/>
    <w:rsid w:val="00903A0A"/>
    <w:rsid w:val="00915CF1"/>
    <w:rsid w:val="00917743"/>
    <w:rsid w:val="00921748"/>
    <w:rsid w:val="00927291"/>
    <w:rsid w:val="00927C89"/>
    <w:rsid w:val="0093124F"/>
    <w:rsid w:val="009329EC"/>
    <w:rsid w:val="0093634A"/>
    <w:rsid w:val="00941E76"/>
    <w:rsid w:val="009466DE"/>
    <w:rsid w:val="00947FBA"/>
    <w:rsid w:val="00950D5C"/>
    <w:rsid w:val="00951332"/>
    <w:rsid w:val="00952D04"/>
    <w:rsid w:val="009532A0"/>
    <w:rsid w:val="00955D06"/>
    <w:rsid w:val="00956231"/>
    <w:rsid w:val="0095638E"/>
    <w:rsid w:val="00962C7D"/>
    <w:rsid w:val="009675EB"/>
    <w:rsid w:val="009728E5"/>
    <w:rsid w:val="00974FE4"/>
    <w:rsid w:val="00980CC5"/>
    <w:rsid w:val="009832EC"/>
    <w:rsid w:val="0098675C"/>
    <w:rsid w:val="009916FD"/>
    <w:rsid w:val="0099204C"/>
    <w:rsid w:val="00992BE4"/>
    <w:rsid w:val="00994628"/>
    <w:rsid w:val="0099730E"/>
    <w:rsid w:val="009A0F61"/>
    <w:rsid w:val="009A552A"/>
    <w:rsid w:val="009A6925"/>
    <w:rsid w:val="009A6DAA"/>
    <w:rsid w:val="009B0C14"/>
    <w:rsid w:val="009B484D"/>
    <w:rsid w:val="009C6576"/>
    <w:rsid w:val="009D1F37"/>
    <w:rsid w:val="009D3500"/>
    <w:rsid w:val="009D351A"/>
    <w:rsid w:val="009D4C13"/>
    <w:rsid w:val="009E251C"/>
    <w:rsid w:val="009E4450"/>
    <w:rsid w:val="009E562B"/>
    <w:rsid w:val="009F1BB8"/>
    <w:rsid w:val="009F5371"/>
    <w:rsid w:val="009F6F4B"/>
    <w:rsid w:val="00A1259F"/>
    <w:rsid w:val="00A12A0B"/>
    <w:rsid w:val="00A12F07"/>
    <w:rsid w:val="00A13C7E"/>
    <w:rsid w:val="00A16551"/>
    <w:rsid w:val="00A23274"/>
    <w:rsid w:val="00A2420A"/>
    <w:rsid w:val="00A304A7"/>
    <w:rsid w:val="00A40E50"/>
    <w:rsid w:val="00A41489"/>
    <w:rsid w:val="00A43E26"/>
    <w:rsid w:val="00A4517B"/>
    <w:rsid w:val="00A45442"/>
    <w:rsid w:val="00A45574"/>
    <w:rsid w:val="00A45C82"/>
    <w:rsid w:val="00A51669"/>
    <w:rsid w:val="00A533E9"/>
    <w:rsid w:val="00A53F71"/>
    <w:rsid w:val="00A55777"/>
    <w:rsid w:val="00A60971"/>
    <w:rsid w:val="00A619CA"/>
    <w:rsid w:val="00A63E5C"/>
    <w:rsid w:val="00A779D4"/>
    <w:rsid w:val="00A81871"/>
    <w:rsid w:val="00A81D81"/>
    <w:rsid w:val="00A92579"/>
    <w:rsid w:val="00A95A82"/>
    <w:rsid w:val="00A9622D"/>
    <w:rsid w:val="00AA0C22"/>
    <w:rsid w:val="00AA4291"/>
    <w:rsid w:val="00AB065A"/>
    <w:rsid w:val="00AC343C"/>
    <w:rsid w:val="00AC5306"/>
    <w:rsid w:val="00AD132F"/>
    <w:rsid w:val="00AD1B2A"/>
    <w:rsid w:val="00AE45B8"/>
    <w:rsid w:val="00AE4C42"/>
    <w:rsid w:val="00AE5809"/>
    <w:rsid w:val="00AE5983"/>
    <w:rsid w:val="00AE7BEC"/>
    <w:rsid w:val="00AF2BAD"/>
    <w:rsid w:val="00AF3089"/>
    <w:rsid w:val="00AF5895"/>
    <w:rsid w:val="00B016A6"/>
    <w:rsid w:val="00B017DB"/>
    <w:rsid w:val="00B03895"/>
    <w:rsid w:val="00B06151"/>
    <w:rsid w:val="00B10325"/>
    <w:rsid w:val="00B109F7"/>
    <w:rsid w:val="00B114E9"/>
    <w:rsid w:val="00B203D3"/>
    <w:rsid w:val="00B26C65"/>
    <w:rsid w:val="00B3034F"/>
    <w:rsid w:val="00B3220A"/>
    <w:rsid w:val="00B328DA"/>
    <w:rsid w:val="00B32DB0"/>
    <w:rsid w:val="00B32F30"/>
    <w:rsid w:val="00B3769C"/>
    <w:rsid w:val="00B40D6D"/>
    <w:rsid w:val="00B40FB9"/>
    <w:rsid w:val="00B50686"/>
    <w:rsid w:val="00B50D27"/>
    <w:rsid w:val="00B53EEF"/>
    <w:rsid w:val="00B60B36"/>
    <w:rsid w:val="00B61204"/>
    <w:rsid w:val="00B61527"/>
    <w:rsid w:val="00B64C06"/>
    <w:rsid w:val="00B7442D"/>
    <w:rsid w:val="00B76680"/>
    <w:rsid w:val="00B7749E"/>
    <w:rsid w:val="00B77B67"/>
    <w:rsid w:val="00B80437"/>
    <w:rsid w:val="00B83688"/>
    <w:rsid w:val="00B843BE"/>
    <w:rsid w:val="00B86118"/>
    <w:rsid w:val="00B8786B"/>
    <w:rsid w:val="00B92C67"/>
    <w:rsid w:val="00BA1C96"/>
    <w:rsid w:val="00BA74A5"/>
    <w:rsid w:val="00BB067A"/>
    <w:rsid w:val="00BB37D9"/>
    <w:rsid w:val="00BC14A0"/>
    <w:rsid w:val="00BC6D27"/>
    <w:rsid w:val="00BC7543"/>
    <w:rsid w:val="00BE1700"/>
    <w:rsid w:val="00BF1EC2"/>
    <w:rsid w:val="00BF767C"/>
    <w:rsid w:val="00C0000B"/>
    <w:rsid w:val="00C03CEE"/>
    <w:rsid w:val="00C04B96"/>
    <w:rsid w:val="00C06465"/>
    <w:rsid w:val="00C07AC3"/>
    <w:rsid w:val="00C11428"/>
    <w:rsid w:val="00C12546"/>
    <w:rsid w:val="00C24041"/>
    <w:rsid w:val="00C247B0"/>
    <w:rsid w:val="00C24C1B"/>
    <w:rsid w:val="00C26CEF"/>
    <w:rsid w:val="00C2715F"/>
    <w:rsid w:val="00C27BBC"/>
    <w:rsid w:val="00C3244B"/>
    <w:rsid w:val="00C345A5"/>
    <w:rsid w:val="00C455EA"/>
    <w:rsid w:val="00C45E95"/>
    <w:rsid w:val="00C465EA"/>
    <w:rsid w:val="00C53930"/>
    <w:rsid w:val="00C551CC"/>
    <w:rsid w:val="00C55A0D"/>
    <w:rsid w:val="00C57C8B"/>
    <w:rsid w:val="00C6133B"/>
    <w:rsid w:val="00C644BE"/>
    <w:rsid w:val="00C652FD"/>
    <w:rsid w:val="00C65F17"/>
    <w:rsid w:val="00C7472E"/>
    <w:rsid w:val="00C752B9"/>
    <w:rsid w:val="00C76C34"/>
    <w:rsid w:val="00C77911"/>
    <w:rsid w:val="00C80979"/>
    <w:rsid w:val="00C840BC"/>
    <w:rsid w:val="00C844ED"/>
    <w:rsid w:val="00C84B37"/>
    <w:rsid w:val="00C92C6C"/>
    <w:rsid w:val="00C93067"/>
    <w:rsid w:val="00C93154"/>
    <w:rsid w:val="00C93557"/>
    <w:rsid w:val="00C95269"/>
    <w:rsid w:val="00C95361"/>
    <w:rsid w:val="00C9599E"/>
    <w:rsid w:val="00C974C0"/>
    <w:rsid w:val="00CA0564"/>
    <w:rsid w:val="00CB0727"/>
    <w:rsid w:val="00CB10D7"/>
    <w:rsid w:val="00CD1720"/>
    <w:rsid w:val="00CD2826"/>
    <w:rsid w:val="00CE5AFF"/>
    <w:rsid w:val="00CF4B1D"/>
    <w:rsid w:val="00D003A1"/>
    <w:rsid w:val="00D05DF2"/>
    <w:rsid w:val="00D1337A"/>
    <w:rsid w:val="00D15BBC"/>
    <w:rsid w:val="00D1667F"/>
    <w:rsid w:val="00D207E8"/>
    <w:rsid w:val="00D27B9F"/>
    <w:rsid w:val="00D322CD"/>
    <w:rsid w:val="00D34299"/>
    <w:rsid w:val="00D3459F"/>
    <w:rsid w:val="00D3643E"/>
    <w:rsid w:val="00D378DC"/>
    <w:rsid w:val="00D5361C"/>
    <w:rsid w:val="00D564BD"/>
    <w:rsid w:val="00D57EBD"/>
    <w:rsid w:val="00D627F4"/>
    <w:rsid w:val="00D65C92"/>
    <w:rsid w:val="00D65DEE"/>
    <w:rsid w:val="00D665FD"/>
    <w:rsid w:val="00D7212D"/>
    <w:rsid w:val="00D740AF"/>
    <w:rsid w:val="00D76402"/>
    <w:rsid w:val="00D80DDF"/>
    <w:rsid w:val="00D8198E"/>
    <w:rsid w:val="00D94AC7"/>
    <w:rsid w:val="00D97F7B"/>
    <w:rsid w:val="00DA6BD8"/>
    <w:rsid w:val="00DB258D"/>
    <w:rsid w:val="00DB76F3"/>
    <w:rsid w:val="00DC2BB1"/>
    <w:rsid w:val="00DC5B54"/>
    <w:rsid w:val="00DC7C48"/>
    <w:rsid w:val="00DD126E"/>
    <w:rsid w:val="00DD27B5"/>
    <w:rsid w:val="00DD364F"/>
    <w:rsid w:val="00DD57B4"/>
    <w:rsid w:val="00DD7D97"/>
    <w:rsid w:val="00DE2263"/>
    <w:rsid w:val="00DE7858"/>
    <w:rsid w:val="00DF2737"/>
    <w:rsid w:val="00E01477"/>
    <w:rsid w:val="00E05263"/>
    <w:rsid w:val="00E17FD4"/>
    <w:rsid w:val="00E22078"/>
    <w:rsid w:val="00E23B0E"/>
    <w:rsid w:val="00E24CBC"/>
    <w:rsid w:val="00E272DA"/>
    <w:rsid w:val="00E27E33"/>
    <w:rsid w:val="00E31795"/>
    <w:rsid w:val="00E32B4D"/>
    <w:rsid w:val="00E41492"/>
    <w:rsid w:val="00E42665"/>
    <w:rsid w:val="00E514E5"/>
    <w:rsid w:val="00E5278B"/>
    <w:rsid w:val="00E53F79"/>
    <w:rsid w:val="00E55083"/>
    <w:rsid w:val="00E570FE"/>
    <w:rsid w:val="00E60A7B"/>
    <w:rsid w:val="00E61634"/>
    <w:rsid w:val="00E6223C"/>
    <w:rsid w:val="00E62342"/>
    <w:rsid w:val="00E653D4"/>
    <w:rsid w:val="00E66B5C"/>
    <w:rsid w:val="00E66F71"/>
    <w:rsid w:val="00E6799E"/>
    <w:rsid w:val="00E70104"/>
    <w:rsid w:val="00E73948"/>
    <w:rsid w:val="00E74D21"/>
    <w:rsid w:val="00E9143E"/>
    <w:rsid w:val="00E97317"/>
    <w:rsid w:val="00EA5EB7"/>
    <w:rsid w:val="00EB0724"/>
    <w:rsid w:val="00EB1275"/>
    <w:rsid w:val="00EC0F3D"/>
    <w:rsid w:val="00EC27FA"/>
    <w:rsid w:val="00EC2BBF"/>
    <w:rsid w:val="00EC344C"/>
    <w:rsid w:val="00EC692B"/>
    <w:rsid w:val="00EC755D"/>
    <w:rsid w:val="00ED0D8C"/>
    <w:rsid w:val="00ED13BD"/>
    <w:rsid w:val="00ED16ED"/>
    <w:rsid w:val="00ED4772"/>
    <w:rsid w:val="00ED521E"/>
    <w:rsid w:val="00ED6C3A"/>
    <w:rsid w:val="00ED7F62"/>
    <w:rsid w:val="00EE00A1"/>
    <w:rsid w:val="00EE3A27"/>
    <w:rsid w:val="00EF1032"/>
    <w:rsid w:val="00EF1650"/>
    <w:rsid w:val="00F0014A"/>
    <w:rsid w:val="00F003ED"/>
    <w:rsid w:val="00F01008"/>
    <w:rsid w:val="00F025C7"/>
    <w:rsid w:val="00F02CE5"/>
    <w:rsid w:val="00F138BC"/>
    <w:rsid w:val="00F13B18"/>
    <w:rsid w:val="00F1783E"/>
    <w:rsid w:val="00F25FF1"/>
    <w:rsid w:val="00F26D5D"/>
    <w:rsid w:val="00F27FCD"/>
    <w:rsid w:val="00F3447E"/>
    <w:rsid w:val="00F35E1A"/>
    <w:rsid w:val="00F42324"/>
    <w:rsid w:val="00F43D01"/>
    <w:rsid w:val="00F47FCB"/>
    <w:rsid w:val="00F529EB"/>
    <w:rsid w:val="00F55893"/>
    <w:rsid w:val="00F62D38"/>
    <w:rsid w:val="00F6575C"/>
    <w:rsid w:val="00F66B0F"/>
    <w:rsid w:val="00F703BA"/>
    <w:rsid w:val="00F735E8"/>
    <w:rsid w:val="00F74ABE"/>
    <w:rsid w:val="00F778BE"/>
    <w:rsid w:val="00F77CA3"/>
    <w:rsid w:val="00F934F4"/>
    <w:rsid w:val="00F962F8"/>
    <w:rsid w:val="00F968C5"/>
    <w:rsid w:val="00FA0079"/>
    <w:rsid w:val="00FA063D"/>
    <w:rsid w:val="00FA0B20"/>
    <w:rsid w:val="00FA1835"/>
    <w:rsid w:val="00FA5A22"/>
    <w:rsid w:val="00FB1FF7"/>
    <w:rsid w:val="00FC0367"/>
    <w:rsid w:val="00FC0E8A"/>
    <w:rsid w:val="00FC129F"/>
    <w:rsid w:val="00FC3BA8"/>
    <w:rsid w:val="00FC64E7"/>
    <w:rsid w:val="00FD0C3B"/>
    <w:rsid w:val="00FD191B"/>
    <w:rsid w:val="00FD3E8F"/>
    <w:rsid w:val="00FD516D"/>
    <w:rsid w:val="00FD52FF"/>
    <w:rsid w:val="00FD787C"/>
    <w:rsid w:val="00FD7A78"/>
    <w:rsid w:val="00FE1BCC"/>
    <w:rsid w:val="00FE2A50"/>
    <w:rsid w:val="00FF0BD0"/>
    <w:rsid w:val="061146CC"/>
    <w:rsid w:val="076F7828"/>
    <w:rsid w:val="09FF6454"/>
    <w:rsid w:val="0A627318"/>
    <w:rsid w:val="0CE7325C"/>
    <w:rsid w:val="0D5350D9"/>
    <w:rsid w:val="10FF5EF2"/>
    <w:rsid w:val="131F376E"/>
    <w:rsid w:val="14F1597F"/>
    <w:rsid w:val="16D70206"/>
    <w:rsid w:val="16F26FFB"/>
    <w:rsid w:val="19475E53"/>
    <w:rsid w:val="1A7C21BD"/>
    <w:rsid w:val="1F9C7ED3"/>
    <w:rsid w:val="248D61C8"/>
    <w:rsid w:val="2671641F"/>
    <w:rsid w:val="27054714"/>
    <w:rsid w:val="277A0E4F"/>
    <w:rsid w:val="28293165"/>
    <w:rsid w:val="2E757CA7"/>
    <w:rsid w:val="31285027"/>
    <w:rsid w:val="332F0A06"/>
    <w:rsid w:val="33713745"/>
    <w:rsid w:val="34797724"/>
    <w:rsid w:val="366B59A4"/>
    <w:rsid w:val="36AF5D13"/>
    <w:rsid w:val="3AAF3DE4"/>
    <w:rsid w:val="3B3F16C0"/>
    <w:rsid w:val="3D351B7B"/>
    <w:rsid w:val="43855351"/>
    <w:rsid w:val="469553AE"/>
    <w:rsid w:val="49F05270"/>
    <w:rsid w:val="4ABE057B"/>
    <w:rsid w:val="4CB536CF"/>
    <w:rsid w:val="4FE81242"/>
    <w:rsid w:val="50D5691D"/>
    <w:rsid w:val="5311310C"/>
    <w:rsid w:val="55945D94"/>
    <w:rsid w:val="5829554D"/>
    <w:rsid w:val="59156D20"/>
    <w:rsid w:val="5C296171"/>
    <w:rsid w:val="5F613231"/>
    <w:rsid w:val="613D65F2"/>
    <w:rsid w:val="64F667B6"/>
    <w:rsid w:val="661810A5"/>
    <w:rsid w:val="66682C0E"/>
    <w:rsid w:val="66DF73D5"/>
    <w:rsid w:val="68984D7E"/>
    <w:rsid w:val="68AE231B"/>
    <w:rsid w:val="695C4282"/>
    <w:rsid w:val="6B3622F2"/>
    <w:rsid w:val="70943FC3"/>
    <w:rsid w:val="77252516"/>
    <w:rsid w:val="78CF7CC0"/>
    <w:rsid w:val="79435A80"/>
    <w:rsid w:val="7951135A"/>
    <w:rsid w:val="7A2A5002"/>
    <w:rsid w:val="7CA552EE"/>
    <w:rsid w:val="7CCE0550"/>
    <w:rsid w:val="7CFA4897"/>
    <w:rsid w:val="7D952517"/>
    <w:rsid w:val="7F8F7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200" w:firstLineChars="200"/>
    </w:pPr>
    <w:rPr>
      <w:rFonts w:ascii="仿宋" w:hAnsi="仿宋" w:eastAsia="仿宋" w:cs="Times New Roman"/>
      <w:sz w:val="32"/>
      <w:szCs w:val="32"/>
      <w:lang w:val="en-US" w:eastAsia="zh-CN" w:bidi="ar-SA"/>
    </w:rPr>
  </w:style>
  <w:style w:type="paragraph" w:styleId="2">
    <w:name w:val="heading 1"/>
    <w:basedOn w:val="3"/>
    <w:next w:val="4"/>
    <w:link w:val="12"/>
    <w:qFormat/>
    <w:uiPriority w:val="9"/>
    <w:pPr>
      <w:adjustRightInd w:val="0"/>
      <w:snapToGrid w:val="0"/>
      <w:spacing w:line="600" w:lineRule="exact"/>
      <w:ind w:firstLine="640"/>
      <w:outlineLvl w:val="0"/>
    </w:pPr>
    <w:rPr>
      <w:rFonts w:ascii="黑体" w:hAnsi="黑体" w:eastAsia="黑体"/>
    </w:rPr>
  </w:style>
  <w:style w:type="paragraph" w:styleId="5">
    <w:name w:val="heading 2"/>
    <w:basedOn w:val="3"/>
    <w:next w:val="4"/>
    <w:link w:val="11"/>
    <w:unhideWhenUsed/>
    <w:qFormat/>
    <w:uiPriority w:val="9"/>
    <w:pPr>
      <w:adjustRightInd w:val="0"/>
      <w:snapToGrid w:val="0"/>
      <w:spacing w:line="600" w:lineRule="exact"/>
      <w:ind w:firstLine="640"/>
      <w:outlineLvl w:val="1"/>
    </w:pPr>
    <w:rPr>
      <w:rFonts w:ascii="楷体" w:hAnsi="楷体" w:eastAsia="楷体"/>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List Paragraph"/>
    <w:basedOn w:val="1"/>
    <w:qFormat/>
    <w:uiPriority w:val="34"/>
    <w:pPr>
      <w:ind w:firstLine="420"/>
    </w:pPr>
  </w:style>
  <w:style w:type="paragraph" w:customStyle="1" w:styleId="4">
    <w:name w:val="公文正文"/>
    <w:basedOn w:val="1"/>
    <w:link w:val="14"/>
    <w:qFormat/>
    <w:uiPriority w:val="0"/>
    <w:pPr>
      <w:adjustRightInd w:val="0"/>
      <w:snapToGrid w:val="0"/>
      <w:spacing w:line="600" w:lineRule="exact"/>
    </w:pPr>
  </w:style>
  <w:style w:type="paragraph" w:styleId="6">
    <w:name w:val="footer"/>
    <w:basedOn w:val="1"/>
    <w:link w:val="16"/>
    <w:unhideWhenUsed/>
    <w:qFormat/>
    <w:uiPriority w:val="99"/>
    <w:pPr>
      <w:tabs>
        <w:tab w:val="center" w:pos="4153"/>
        <w:tab w:val="right" w:pos="8306"/>
      </w:tabs>
      <w:snapToGrid w:val="0"/>
    </w:pPr>
    <w:rPr>
      <w:sz w:val="18"/>
      <w:szCs w:val="18"/>
    </w:rPr>
  </w:style>
  <w:style w:type="paragraph" w:styleId="7">
    <w:name w:val="header"/>
    <w:basedOn w:val="1"/>
    <w:link w:val="15"/>
    <w:unhideWhenUsed/>
    <w:qFormat/>
    <w:uiPriority w:val="99"/>
    <w:pPr>
      <w:tabs>
        <w:tab w:val="center" w:pos="4153"/>
        <w:tab w:val="right" w:pos="8306"/>
      </w:tabs>
      <w:snapToGrid w:val="0"/>
      <w:jc w:val="center"/>
    </w:pPr>
    <w:rPr>
      <w:sz w:val="18"/>
      <w:szCs w:val="18"/>
    </w:rPr>
  </w:style>
  <w:style w:type="paragraph" w:styleId="8">
    <w:name w:val="Title"/>
    <w:basedOn w:val="1"/>
    <w:next w:val="1"/>
    <w:link w:val="13"/>
    <w:qFormat/>
    <w:uiPriority w:val="10"/>
    <w:pPr>
      <w:jc w:val="center"/>
    </w:pPr>
    <w:rPr>
      <w:rFonts w:ascii="宋体" w:hAnsi="宋体" w:eastAsia="宋体" w:cs="宋体"/>
      <w:b/>
      <w:bCs/>
      <w:sz w:val="40"/>
      <w:szCs w:val="40"/>
    </w:rPr>
  </w:style>
  <w:style w:type="character" w:customStyle="1" w:styleId="11">
    <w:name w:val="标题 2 字符"/>
    <w:basedOn w:val="10"/>
    <w:link w:val="5"/>
    <w:qFormat/>
    <w:uiPriority w:val="9"/>
    <w:rPr>
      <w:rFonts w:ascii="楷体" w:hAnsi="楷体" w:eastAsia="楷体"/>
      <w:sz w:val="32"/>
      <w:szCs w:val="32"/>
    </w:rPr>
  </w:style>
  <w:style w:type="character" w:customStyle="1" w:styleId="12">
    <w:name w:val="标题 1 字符"/>
    <w:basedOn w:val="10"/>
    <w:link w:val="2"/>
    <w:qFormat/>
    <w:uiPriority w:val="9"/>
    <w:rPr>
      <w:rFonts w:ascii="黑体" w:hAnsi="黑体" w:eastAsia="黑体" w:cs="Times New Roman"/>
      <w:sz w:val="32"/>
      <w:szCs w:val="32"/>
    </w:rPr>
  </w:style>
  <w:style w:type="character" w:customStyle="1" w:styleId="13">
    <w:name w:val="标题 字符"/>
    <w:basedOn w:val="10"/>
    <w:link w:val="8"/>
    <w:qFormat/>
    <w:uiPriority w:val="10"/>
    <w:rPr>
      <w:rFonts w:ascii="宋体" w:hAnsi="宋体" w:eastAsia="宋体" w:cs="宋体"/>
      <w:b/>
      <w:bCs/>
      <w:sz w:val="40"/>
      <w:szCs w:val="40"/>
    </w:rPr>
  </w:style>
  <w:style w:type="character" w:customStyle="1" w:styleId="14">
    <w:name w:val="公文正文 字符"/>
    <w:basedOn w:val="10"/>
    <w:link w:val="4"/>
    <w:qFormat/>
    <w:uiPriority w:val="0"/>
    <w:rPr>
      <w:rFonts w:ascii="仿宋" w:hAnsi="仿宋" w:eastAsia="仿宋" w:cs="Times New Roman"/>
      <w:sz w:val="32"/>
      <w:szCs w:val="32"/>
    </w:rPr>
  </w:style>
  <w:style w:type="character" w:customStyle="1" w:styleId="15">
    <w:name w:val="页眉 字符"/>
    <w:basedOn w:val="10"/>
    <w:link w:val="7"/>
    <w:qFormat/>
    <w:uiPriority w:val="99"/>
    <w:rPr>
      <w:rFonts w:ascii="仿宋" w:hAnsi="仿宋" w:eastAsia="仿宋" w:cs="Times New Roman"/>
      <w:kern w:val="0"/>
      <w:sz w:val="18"/>
      <w:szCs w:val="18"/>
    </w:rPr>
  </w:style>
  <w:style w:type="character" w:customStyle="1" w:styleId="16">
    <w:name w:val="页脚 字符"/>
    <w:basedOn w:val="10"/>
    <w:link w:val="6"/>
    <w:qFormat/>
    <w:uiPriority w:val="99"/>
    <w:rPr>
      <w:rFonts w:ascii="仿宋" w:hAnsi="仿宋" w:eastAsia="仿宋" w:cs="Times New Roman"/>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57C9C-272F-41BB-AFD9-9958347A8434}">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3623</Words>
  <Characters>3813</Characters>
  <Lines>29</Lines>
  <Paragraphs>8</Paragraphs>
  <TotalTime>7</TotalTime>
  <ScaleCrop>false</ScaleCrop>
  <LinksUpToDate>false</LinksUpToDate>
  <CharactersWithSpaces>3942</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2025-02-18T09:58:00Z</dcterms:created>
  <dc:creator>zhb-duds</dc:creator>
  <cp:lastModifiedBy>wps</cp:lastModifiedBy>
  <dcterms:modified xsi:type="dcterms:W3CDTF">2025-02-19T00:41:12Z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E81CC87AA5F04E1596E42FC36AC50587</vt:lpwstr>
  </property>
</Properties>
</file>