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A49C4" w14:textId="77777777" w:rsidR="00C5026B" w:rsidRDefault="00000000">
      <w:pPr>
        <w:pStyle w:val="1"/>
        <w:rPr>
          <w:rFonts w:ascii="宋体" w:eastAsia="宋体" w:hAnsi="宋体" w:cs="宋体" w:hint="eastAsia"/>
          <w:sz w:val="20"/>
          <w:szCs w:val="20"/>
          <w:lang w:val="en-US"/>
        </w:rPr>
      </w:pPr>
      <w:r>
        <w:rPr>
          <w:rFonts w:ascii="宋体" w:eastAsia="宋体" w:hAnsi="宋体" w:cs="宋体" w:hint="eastAsia"/>
          <w:sz w:val="20"/>
          <w:szCs w:val="20"/>
          <w:lang w:val="en-US"/>
        </w:rPr>
        <w:t xml:space="preserve">证券代码：688663   </w:t>
      </w:r>
      <w:r>
        <w:rPr>
          <w:rFonts w:ascii="宋体" w:eastAsia="宋体" w:hAnsi="宋体" w:cs="宋体" w:hint="eastAsia"/>
          <w:sz w:val="21"/>
          <w:szCs w:val="21"/>
          <w:lang w:val="en-US"/>
        </w:rPr>
        <w:t xml:space="preserve">                                             </w:t>
      </w:r>
      <w:r>
        <w:rPr>
          <w:rFonts w:ascii="宋体" w:eastAsia="宋体" w:hAnsi="宋体" w:cs="宋体" w:hint="eastAsia"/>
          <w:sz w:val="20"/>
          <w:szCs w:val="20"/>
          <w:lang w:val="en-US"/>
        </w:rPr>
        <w:t>证券简称：新风光</w:t>
      </w:r>
    </w:p>
    <w:p w14:paraId="05C00EBB" w14:textId="77777777" w:rsidR="00C5026B" w:rsidRDefault="00C5026B">
      <w:pPr>
        <w:spacing w:line="360" w:lineRule="auto"/>
        <w:jc w:val="center"/>
        <w:rPr>
          <w:rFonts w:ascii="宋体" w:eastAsia="宋体" w:hAnsi="宋体" w:cs="宋体" w:hint="eastAsia"/>
          <w:b/>
          <w:bCs/>
          <w:sz w:val="44"/>
          <w:szCs w:val="44"/>
        </w:rPr>
      </w:pPr>
    </w:p>
    <w:p w14:paraId="43EAE8FC" w14:textId="77777777" w:rsidR="00C5026B" w:rsidRDefault="00000000">
      <w:pPr>
        <w:spacing w:line="360" w:lineRule="auto"/>
        <w:jc w:val="center"/>
        <w:rPr>
          <w:rFonts w:ascii="宋体" w:eastAsia="宋体" w:hAnsi="宋体" w:cs="宋体" w:hint="eastAsia"/>
          <w:b/>
          <w:bCs/>
          <w:color w:val="FF0000"/>
          <w:sz w:val="44"/>
          <w:szCs w:val="44"/>
        </w:rPr>
      </w:pPr>
      <w:r>
        <w:rPr>
          <w:rFonts w:ascii="宋体" w:eastAsia="宋体" w:hAnsi="宋体" w:cs="宋体" w:hint="eastAsia"/>
          <w:b/>
          <w:bCs/>
          <w:color w:val="FF0000"/>
          <w:sz w:val="44"/>
          <w:szCs w:val="44"/>
        </w:rPr>
        <w:t>新风光电子科技股份有限公司</w:t>
      </w:r>
    </w:p>
    <w:p w14:paraId="7CE9C430" w14:textId="77777777" w:rsidR="00C5026B" w:rsidRDefault="00000000">
      <w:pPr>
        <w:spacing w:line="360" w:lineRule="auto"/>
        <w:jc w:val="center"/>
        <w:rPr>
          <w:rFonts w:ascii="宋体" w:eastAsia="宋体" w:hAnsi="宋体" w:cs="宋体" w:hint="eastAsia"/>
          <w:color w:val="FF0000"/>
          <w:sz w:val="44"/>
          <w:szCs w:val="44"/>
        </w:rPr>
      </w:pPr>
      <w:r>
        <w:rPr>
          <w:rFonts w:ascii="宋体" w:eastAsia="宋体" w:hAnsi="宋体" w:cs="宋体" w:hint="eastAsia"/>
          <w:b/>
          <w:bCs/>
          <w:color w:val="FF0000"/>
          <w:sz w:val="44"/>
          <w:szCs w:val="44"/>
        </w:rPr>
        <w:t>投资者关系活动记录表</w:t>
      </w:r>
    </w:p>
    <w:p w14:paraId="5562F223" w14:textId="77777777" w:rsidR="00C5026B" w:rsidRDefault="00000000">
      <w:pPr>
        <w:spacing w:before="51" w:after="32"/>
        <w:ind w:right="19"/>
        <w:jc w:val="right"/>
        <w:rPr>
          <w:rFonts w:ascii="宋体" w:eastAsia="宋体" w:hAnsi="宋体" w:cs="宋体" w:hint="eastAsia"/>
          <w:sz w:val="20"/>
          <w:szCs w:val="20"/>
        </w:rPr>
      </w:pPr>
      <w:r>
        <w:rPr>
          <w:rFonts w:ascii="宋体" w:eastAsia="宋体" w:hAnsi="宋体" w:cs="宋体" w:hint="eastAsia"/>
          <w:sz w:val="20"/>
          <w:szCs w:val="20"/>
        </w:rPr>
        <w:t>编号：</w:t>
      </w:r>
      <w:r>
        <w:rPr>
          <w:rFonts w:ascii="宋体" w:eastAsia="宋体" w:hAnsi="宋体" w:cs="宋体" w:hint="eastAsia"/>
          <w:sz w:val="20"/>
          <w:szCs w:val="20"/>
          <w:lang w:val="en-US"/>
        </w:rPr>
        <w:t>2025</w:t>
      </w:r>
      <w:r>
        <w:rPr>
          <w:rFonts w:ascii="宋体" w:eastAsia="宋体" w:hAnsi="宋体" w:cs="宋体" w:hint="eastAsia"/>
          <w:sz w:val="20"/>
          <w:szCs w:val="20"/>
        </w:rPr>
        <w:t>-002</w:t>
      </w:r>
    </w:p>
    <w:tbl>
      <w:tblPr>
        <w:tblW w:w="85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0" w:type="dxa"/>
        </w:tblCellMar>
        <w:tblLook w:val="04A0" w:firstRow="1" w:lastRow="0" w:firstColumn="1" w:lastColumn="0" w:noHBand="0" w:noVBand="1"/>
      </w:tblPr>
      <w:tblGrid>
        <w:gridCol w:w="2580"/>
        <w:gridCol w:w="5945"/>
      </w:tblGrid>
      <w:tr w:rsidR="00C5026B" w14:paraId="6E65A2F1" w14:textId="77777777">
        <w:trPr>
          <w:trHeight w:val="2801"/>
          <w:jc w:val="center"/>
        </w:trPr>
        <w:tc>
          <w:tcPr>
            <w:tcW w:w="2580" w:type="dxa"/>
          </w:tcPr>
          <w:p w14:paraId="6852C7BB" w14:textId="77777777" w:rsidR="00C5026B" w:rsidRDefault="00C5026B">
            <w:pPr>
              <w:pStyle w:val="TableParagraph"/>
              <w:spacing w:before="7"/>
              <w:rPr>
                <w:rFonts w:asciiTheme="minorEastAsia" w:eastAsiaTheme="minorEastAsia" w:hAnsiTheme="minorEastAsia" w:cs="宋体" w:hint="eastAsia"/>
                <w:b/>
                <w:bCs/>
                <w:sz w:val="21"/>
                <w:szCs w:val="21"/>
              </w:rPr>
            </w:pPr>
          </w:p>
          <w:p w14:paraId="44852494" w14:textId="77777777" w:rsidR="00C5026B" w:rsidRDefault="00000000">
            <w:pPr>
              <w:pStyle w:val="TableParagraph"/>
              <w:spacing w:before="1"/>
              <w:ind w:left="107"/>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t>投资者关系活动类别</w:t>
            </w:r>
          </w:p>
        </w:tc>
        <w:tc>
          <w:tcPr>
            <w:tcW w:w="5945" w:type="dxa"/>
          </w:tcPr>
          <w:p w14:paraId="20F1B19A" w14:textId="77777777" w:rsidR="00C5026B" w:rsidRDefault="00000000">
            <w:pPr>
              <w:pStyle w:val="TableParagraph"/>
              <w:tabs>
                <w:tab w:val="left" w:pos="2418"/>
              </w:tabs>
              <w:spacing w:before="1"/>
              <w:ind w:left="107"/>
              <w:rPr>
                <w:rFonts w:asciiTheme="minorEastAsia" w:eastAsiaTheme="minorEastAsia" w:hAnsiTheme="minorEastAsia" w:cs="宋体" w:hint="eastAsia"/>
                <w:sz w:val="21"/>
                <w:szCs w:val="21"/>
              </w:rPr>
            </w:pPr>
            <w:sdt>
              <w:sdtPr>
                <w:rPr>
                  <w:rFonts w:asciiTheme="minorEastAsia" w:eastAsiaTheme="minorEastAsia" w:hAnsiTheme="minorEastAsia" w:cs="宋体" w:hint="eastAsia"/>
                  <w:sz w:val="21"/>
                  <w:szCs w:val="21"/>
                </w:rPr>
                <w:id w:val="249780449"/>
                <w14:checkbox>
                  <w14:checked w14:val="0"/>
                  <w14:checkedState w14:val="0052" w14:font="Wingdings 2"/>
                  <w14:uncheckedState w14:val="2610" w14:font="MS Gothic"/>
                </w14:checkbox>
              </w:sdtPr>
              <w:sdtContent>
                <w:r>
                  <w:rPr>
                    <w:rFonts w:ascii="Segoe UI Symbol" w:eastAsiaTheme="minorEastAsia" w:hAnsi="Segoe UI Symbol" w:cs="Segoe UI Symbol"/>
                    <w:sz w:val="21"/>
                    <w:szCs w:val="21"/>
                  </w:rPr>
                  <w:t>☐</w:t>
                </w:r>
              </w:sdtContent>
            </w:sdt>
            <w:r>
              <w:rPr>
                <w:rFonts w:asciiTheme="minorEastAsia" w:eastAsiaTheme="minorEastAsia" w:hAnsiTheme="minorEastAsia" w:cs="宋体" w:hint="eastAsia"/>
                <w:sz w:val="21"/>
                <w:szCs w:val="21"/>
              </w:rPr>
              <w:t>特</w:t>
            </w:r>
            <w:r>
              <w:rPr>
                <w:rFonts w:asciiTheme="minorEastAsia" w:eastAsiaTheme="minorEastAsia" w:hAnsiTheme="minorEastAsia" w:cs="宋体" w:hint="eastAsia"/>
                <w:spacing w:val="-3"/>
                <w:sz w:val="21"/>
                <w:szCs w:val="21"/>
              </w:rPr>
              <w:t>定</w:t>
            </w:r>
            <w:r>
              <w:rPr>
                <w:rFonts w:asciiTheme="minorEastAsia" w:eastAsiaTheme="minorEastAsia" w:hAnsiTheme="minorEastAsia" w:cs="宋体" w:hint="eastAsia"/>
                <w:sz w:val="21"/>
                <w:szCs w:val="21"/>
              </w:rPr>
              <w:t>对</w:t>
            </w:r>
            <w:r>
              <w:rPr>
                <w:rFonts w:asciiTheme="minorEastAsia" w:eastAsiaTheme="minorEastAsia" w:hAnsiTheme="minorEastAsia" w:cs="宋体" w:hint="eastAsia"/>
                <w:spacing w:val="-3"/>
                <w:sz w:val="21"/>
                <w:szCs w:val="21"/>
              </w:rPr>
              <w:t>象</w:t>
            </w:r>
            <w:r>
              <w:rPr>
                <w:rFonts w:asciiTheme="minorEastAsia" w:eastAsiaTheme="minorEastAsia" w:hAnsiTheme="minorEastAsia" w:cs="宋体" w:hint="eastAsia"/>
                <w:sz w:val="21"/>
                <w:szCs w:val="21"/>
              </w:rPr>
              <w:t>调研</w:t>
            </w:r>
            <w:r>
              <w:rPr>
                <w:rFonts w:asciiTheme="minorEastAsia" w:eastAsiaTheme="minorEastAsia" w:hAnsiTheme="minorEastAsia" w:cs="宋体" w:hint="eastAsia"/>
                <w:sz w:val="21"/>
                <w:szCs w:val="21"/>
              </w:rPr>
              <w:tab/>
            </w:r>
            <w:sdt>
              <w:sdtPr>
                <w:rPr>
                  <w:rFonts w:asciiTheme="minorEastAsia" w:eastAsiaTheme="minorEastAsia" w:hAnsiTheme="minorEastAsia" w:cs="宋体" w:hint="eastAsia"/>
                  <w:sz w:val="21"/>
                  <w:szCs w:val="21"/>
                </w:rPr>
                <w:id w:val="-416875725"/>
                <w14:checkbox>
                  <w14:checked w14:val="0"/>
                  <w14:checkedState w14:val="0052" w14:font="Wingdings 2"/>
                  <w14:uncheckedState w14:val="2610" w14:font="MS Gothic"/>
                </w14:checkbox>
              </w:sdtPr>
              <w:sdtContent>
                <w:r>
                  <w:rPr>
                    <w:rFonts w:ascii="Segoe UI Symbol" w:eastAsiaTheme="minorEastAsia" w:hAnsi="Segoe UI Symbol" w:cs="Segoe UI Symbol"/>
                    <w:sz w:val="21"/>
                    <w:szCs w:val="21"/>
                  </w:rPr>
                  <w:t>☐</w:t>
                </w:r>
              </w:sdtContent>
            </w:sdt>
            <w:r>
              <w:rPr>
                <w:rFonts w:asciiTheme="minorEastAsia" w:eastAsiaTheme="minorEastAsia" w:hAnsiTheme="minorEastAsia" w:cs="宋体" w:hint="eastAsia"/>
                <w:sz w:val="21"/>
                <w:szCs w:val="21"/>
              </w:rPr>
              <w:t>分</w:t>
            </w:r>
            <w:r>
              <w:rPr>
                <w:rFonts w:asciiTheme="minorEastAsia" w:eastAsiaTheme="minorEastAsia" w:hAnsiTheme="minorEastAsia" w:cs="宋体" w:hint="eastAsia"/>
                <w:spacing w:val="-3"/>
                <w:sz w:val="21"/>
                <w:szCs w:val="21"/>
              </w:rPr>
              <w:t>析</w:t>
            </w:r>
            <w:r>
              <w:rPr>
                <w:rFonts w:asciiTheme="minorEastAsia" w:eastAsiaTheme="minorEastAsia" w:hAnsiTheme="minorEastAsia" w:cs="宋体" w:hint="eastAsia"/>
                <w:sz w:val="21"/>
                <w:szCs w:val="21"/>
              </w:rPr>
              <w:t>师</w:t>
            </w:r>
            <w:r>
              <w:rPr>
                <w:rFonts w:asciiTheme="minorEastAsia" w:eastAsiaTheme="minorEastAsia" w:hAnsiTheme="minorEastAsia" w:cs="宋体" w:hint="eastAsia"/>
                <w:spacing w:val="-3"/>
                <w:sz w:val="21"/>
                <w:szCs w:val="21"/>
              </w:rPr>
              <w:t>会</w:t>
            </w:r>
            <w:r>
              <w:rPr>
                <w:rFonts w:asciiTheme="minorEastAsia" w:eastAsiaTheme="minorEastAsia" w:hAnsiTheme="minorEastAsia" w:cs="宋体" w:hint="eastAsia"/>
                <w:sz w:val="21"/>
                <w:szCs w:val="21"/>
              </w:rPr>
              <w:t>议</w:t>
            </w:r>
          </w:p>
          <w:p w14:paraId="2D931D73" w14:textId="77777777" w:rsidR="00C5026B" w:rsidRDefault="00C5026B">
            <w:pPr>
              <w:pStyle w:val="TableParagraph"/>
              <w:spacing w:before="11"/>
              <w:rPr>
                <w:rFonts w:asciiTheme="minorEastAsia" w:eastAsiaTheme="minorEastAsia" w:hAnsiTheme="minorEastAsia" w:cs="宋体" w:hint="eastAsia"/>
                <w:sz w:val="21"/>
                <w:szCs w:val="21"/>
              </w:rPr>
            </w:pPr>
          </w:p>
          <w:p w14:paraId="79586CAB" w14:textId="77777777" w:rsidR="00C5026B" w:rsidRDefault="00000000">
            <w:pPr>
              <w:pStyle w:val="TableParagraph"/>
              <w:tabs>
                <w:tab w:val="left" w:pos="2418"/>
              </w:tabs>
              <w:ind w:left="107"/>
              <w:rPr>
                <w:rFonts w:asciiTheme="minorEastAsia" w:eastAsiaTheme="minorEastAsia" w:hAnsiTheme="minorEastAsia" w:cs="宋体" w:hint="eastAsia"/>
                <w:sz w:val="21"/>
                <w:szCs w:val="21"/>
              </w:rPr>
            </w:pPr>
            <w:sdt>
              <w:sdtPr>
                <w:rPr>
                  <w:rFonts w:asciiTheme="minorEastAsia" w:eastAsiaTheme="minorEastAsia" w:hAnsiTheme="minorEastAsia" w:cs="宋体" w:hint="eastAsia"/>
                  <w:sz w:val="21"/>
                  <w:szCs w:val="21"/>
                </w:rPr>
                <w:id w:val="1206906014"/>
                <w14:checkbox>
                  <w14:checked w14:val="0"/>
                  <w14:checkedState w14:val="0052" w14:font="Wingdings 2"/>
                  <w14:uncheckedState w14:val="2610" w14:font="MS Gothic"/>
                </w14:checkbox>
              </w:sdtPr>
              <w:sdtContent>
                <w:r>
                  <w:rPr>
                    <w:rFonts w:ascii="Segoe UI Symbol" w:eastAsiaTheme="minorEastAsia" w:hAnsi="Segoe UI Symbol" w:cs="Segoe UI Symbol"/>
                    <w:sz w:val="21"/>
                    <w:szCs w:val="21"/>
                  </w:rPr>
                  <w:t>☐</w:t>
                </w:r>
              </w:sdtContent>
            </w:sdt>
            <w:r>
              <w:rPr>
                <w:rFonts w:asciiTheme="minorEastAsia" w:eastAsiaTheme="minorEastAsia" w:hAnsiTheme="minorEastAsia" w:cs="宋体" w:hint="eastAsia"/>
                <w:sz w:val="21"/>
                <w:szCs w:val="21"/>
              </w:rPr>
              <w:t>媒</w:t>
            </w:r>
            <w:r>
              <w:rPr>
                <w:rFonts w:asciiTheme="minorEastAsia" w:eastAsiaTheme="minorEastAsia" w:hAnsiTheme="minorEastAsia" w:cs="宋体" w:hint="eastAsia"/>
                <w:spacing w:val="-3"/>
                <w:sz w:val="21"/>
                <w:szCs w:val="21"/>
              </w:rPr>
              <w:t>体</w:t>
            </w:r>
            <w:r>
              <w:rPr>
                <w:rFonts w:asciiTheme="minorEastAsia" w:eastAsiaTheme="minorEastAsia" w:hAnsiTheme="minorEastAsia" w:cs="宋体" w:hint="eastAsia"/>
                <w:sz w:val="21"/>
                <w:szCs w:val="21"/>
              </w:rPr>
              <w:t>采访</w:t>
            </w:r>
            <w:r>
              <w:rPr>
                <w:rFonts w:asciiTheme="minorEastAsia" w:eastAsiaTheme="minorEastAsia" w:hAnsiTheme="minorEastAsia" w:cs="宋体" w:hint="eastAsia"/>
                <w:sz w:val="21"/>
                <w:szCs w:val="21"/>
              </w:rPr>
              <w:tab/>
            </w:r>
            <w:sdt>
              <w:sdtPr>
                <w:rPr>
                  <w:rFonts w:asciiTheme="minorEastAsia" w:eastAsiaTheme="minorEastAsia" w:hAnsiTheme="minorEastAsia" w:cs="宋体" w:hint="eastAsia"/>
                  <w:sz w:val="21"/>
                  <w:szCs w:val="21"/>
                </w:rPr>
                <w:id w:val="-66658901"/>
                <w14:checkbox>
                  <w14:checked w14:val="1"/>
                  <w14:checkedState w14:val="0052" w14:font="Wingdings 2"/>
                  <w14:uncheckedState w14:val="2610" w14:font="MS Gothic"/>
                </w14:checkbox>
              </w:sdtPr>
              <w:sdtContent>
                <w:r>
                  <w:rPr>
                    <w:rFonts w:asciiTheme="minorEastAsia" w:eastAsiaTheme="minorEastAsia" w:hAnsiTheme="minorEastAsia" w:cs="宋体" w:hint="eastAsia"/>
                    <w:sz w:val="21"/>
                    <w:szCs w:val="21"/>
                  </w:rPr>
                  <w:sym w:font="Wingdings 2" w:char="F052"/>
                </w:r>
              </w:sdtContent>
            </w:sdt>
            <w:r>
              <w:rPr>
                <w:rFonts w:asciiTheme="minorEastAsia" w:eastAsiaTheme="minorEastAsia" w:hAnsiTheme="minorEastAsia" w:cs="宋体" w:hint="eastAsia"/>
                <w:sz w:val="21"/>
                <w:szCs w:val="21"/>
              </w:rPr>
              <w:t>业</w:t>
            </w:r>
            <w:r>
              <w:rPr>
                <w:rFonts w:asciiTheme="minorEastAsia" w:eastAsiaTheme="minorEastAsia" w:hAnsiTheme="minorEastAsia" w:cs="宋体" w:hint="eastAsia"/>
                <w:spacing w:val="-3"/>
                <w:sz w:val="21"/>
                <w:szCs w:val="21"/>
              </w:rPr>
              <w:t>绩</w:t>
            </w:r>
            <w:r>
              <w:rPr>
                <w:rFonts w:asciiTheme="minorEastAsia" w:eastAsiaTheme="minorEastAsia" w:hAnsiTheme="minorEastAsia" w:cs="宋体" w:hint="eastAsia"/>
                <w:sz w:val="21"/>
                <w:szCs w:val="21"/>
              </w:rPr>
              <w:t>说</w:t>
            </w:r>
            <w:r>
              <w:rPr>
                <w:rFonts w:asciiTheme="minorEastAsia" w:eastAsiaTheme="minorEastAsia" w:hAnsiTheme="minorEastAsia" w:cs="宋体" w:hint="eastAsia"/>
                <w:spacing w:val="-3"/>
                <w:sz w:val="21"/>
                <w:szCs w:val="21"/>
              </w:rPr>
              <w:t>明</w:t>
            </w:r>
            <w:r>
              <w:rPr>
                <w:rFonts w:asciiTheme="minorEastAsia" w:eastAsiaTheme="minorEastAsia" w:hAnsiTheme="minorEastAsia" w:cs="宋体" w:hint="eastAsia"/>
                <w:sz w:val="21"/>
                <w:szCs w:val="21"/>
              </w:rPr>
              <w:t>会</w:t>
            </w:r>
          </w:p>
          <w:p w14:paraId="43AE2A3A" w14:textId="77777777" w:rsidR="00C5026B" w:rsidRDefault="00C5026B">
            <w:pPr>
              <w:pStyle w:val="TableParagraph"/>
              <w:spacing w:before="8"/>
              <w:rPr>
                <w:rFonts w:asciiTheme="minorEastAsia" w:eastAsiaTheme="minorEastAsia" w:hAnsiTheme="minorEastAsia" w:cs="宋体" w:hint="eastAsia"/>
                <w:sz w:val="21"/>
                <w:szCs w:val="21"/>
              </w:rPr>
            </w:pPr>
          </w:p>
          <w:p w14:paraId="151D0C88" w14:textId="77777777" w:rsidR="00C5026B" w:rsidRDefault="00000000">
            <w:pPr>
              <w:pStyle w:val="TableParagraph"/>
              <w:tabs>
                <w:tab w:val="left" w:pos="2418"/>
              </w:tabs>
              <w:ind w:left="107"/>
              <w:rPr>
                <w:rFonts w:asciiTheme="minorEastAsia" w:eastAsiaTheme="minorEastAsia" w:hAnsiTheme="minorEastAsia" w:cs="宋体" w:hint="eastAsia"/>
                <w:sz w:val="21"/>
                <w:szCs w:val="21"/>
              </w:rPr>
            </w:pPr>
            <w:sdt>
              <w:sdtPr>
                <w:rPr>
                  <w:rFonts w:asciiTheme="minorEastAsia" w:eastAsiaTheme="minorEastAsia" w:hAnsiTheme="minorEastAsia" w:cs="宋体" w:hint="eastAsia"/>
                  <w:sz w:val="21"/>
                  <w:szCs w:val="21"/>
                </w:rPr>
                <w:id w:val="-1848167434"/>
                <w14:checkbox>
                  <w14:checked w14:val="0"/>
                  <w14:checkedState w14:val="0052" w14:font="Wingdings 2"/>
                  <w14:uncheckedState w14:val="2610" w14:font="MS Gothic"/>
                </w14:checkbox>
              </w:sdtPr>
              <w:sdtContent>
                <w:r>
                  <w:rPr>
                    <w:rFonts w:ascii="Segoe UI Symbol" w:eastAsiaTheme="minorEastAsia" w:hAnsi="Segoe UI Symbol" w:cs="Segoe UI Symbol"/>
                    <w:sz w:val="21"/>
                    <w:szCs w:val="21"/>
                  </w:rPr>
                  <w:t>☐</w:t>
                </w:r>
              </w:sdtContent>
            </w:sdt>
            <w:r>
              <w:rPr>
                <w:rFonts w:asciiTheme="minorEastAsia" w:eastAsiaTheme="minorEastAsia" w:hAnsiTheme="minorEastAsia" w:cs="宋体" w:hint="eastAsia"/>
                <w:sz w:val="21"/>
                <w:szCs w:val="21"/>
              </w:rPr>
              <w:t>新</w:t>
            </w:r>
            <w:r>
              <w:rPr>
                <w:rFonts w:asciiTheme="minorEastAsia" w:eastAsiaTheme="minorEastAsia" w:hAnsiTheme="minorEastAsia" w:cs="宋体" w:hint="eastAsia"/>
                <w:spacing w:val="-3"/>
                <w:sz w:val="21"/>
                <w:szCs w:val="21"/>
              </w:rPr>
              <w:t>闻</w:t>
            </w:r>
            <w:r>
              <w:rPr>
                <w:rFonts w:asciiTheme="minorEastAsia" w:eastAsiaTheme="minorEastAsia" w:hAnsiTheme="minorEastAsia" w:cs="宋体" w:hint="eastAsia"/>
                <w:sz w:val="21"/>
                <w:szCs w:val="21"/>
              </w:rPr>
              <w:t>发</w:t>
            </w:r>
            <w:r>
              <w:rPr>
                <w:rFonts w:asciiTheme="minorEastAsia" w:eastAsiaTheme="minorEastAsia" w:hAnsiTheme="minorEastAsia" w:cs="宋体" w:hint="eastAsia"/>
                <w:spacing w:val="-3"/>
                <w:sz w:val="21"/>
                <w:szCs w:val="21"/>
              </w:rPr>
              <w:t>布</w:t>
            </w:r>
            <w:r>
              <w:rPr>
                <w:rFonts w:asciiTheme="minorEastAsia" w:eastAsiaTheme="minorEastAsia" w:hAnsiTheme="minorEastAsia" w:cs="宋体" w:hint="eastAsia"/>
                <w:sz w:val="21"/>
                <w:szCs w:val="21"/>
              </w:rPr>
              <w:t>会</w:t>
            </w:r>
            <w:r>
              <w:rPr>
                <w:rFonts w:asciiTheme="minorEastAsia" w:eastAsiaTheme="minorEastAsia" w:hAnsiTheme="minorEastAsia" w:cs="宋体" w:hint="eastAsia"/>
                <w:sz w:val="21"/>
                <w:szCs w:val="21"/>
              </w:rPr>
              <w:tab/>
            </w:r>
            <w:sdt>
              <w:sdtPr>
                <w:rPr>
                  <w:rFonts w:asciiTheme="minorEastAsia" w:eastAsiaTheme="minorEastAsia" w:hAnsiTheme="minorEastAsia" w:cs="宋体" w:hint="eastAsia"/>
                  <w:sz w:val="21"/>
                  <w:szCs w:val="21"/>
                </w:rPr>
                <w:id w:val="412049691"/>
                <w14:checkbox>
                  <w14:checked w14:val="0"/>
                  <w14:checkedState w14:val="0052" w14:font="Wingdings 2"/>
                  <w14:uncheckedState w14:val="2610" w14:font="MS Gothic"/>
                </w14:checkbox>
              </w:sdtPr>
              <w:sdtContent>
                <w:r>
                  <w:rPr>
                    <w:rFonts w:ascii="Segoe UI Symbol" w:eastAsiaTheme="minorEastAsia" w:hAnsi="Segoe UI Symbol" w:cs="Segoe UI Symbol"/>
                    <w:sz w:val="21"/>
                    <w:szCs w:val="21"/>
                  </w:rPr>
                  <w:t>☐</w:t>
                </w:r>
              </w:sdtContent>
            </w:sdt>
            <w:r>
              <w:rPr>
                <w:rFonts w:asciiTheme="minorEastAsia" w:eastAsiaTheme="minorEastAsia" w:hAnsiTheme="minorEastAsia" w:cs="宋体" w:hint="eastAsia"/>
                <w:sz w:val="21"/>
                <w:szCs w:val="21"/>
              </w:rPr>
              <w:t>路</w:t>
            </w:r>
            <w:r>
              <w:rPr>
                <w:rFonts w:asciiTheme="minorEastAsia" w:eastAsiaTheme="minorEastAsia" w:hAnsiTheme="minorEastAsia" w:cs="宋体" w:hint="eastAsia"/>
                <w:spacing w:val="-3"/>
                <w:sz w:val="21"/>
                <w:szCs w:val="21"/>
              </w:rPr>
              <w:t>演</w:t>
            </w:r>
            <w:r>
              <w:rPr>
                <w:rFonts w:asciiTheme="minorEastAsia" w:eastAsiaTheme="minorEastAsia" w:hAnsiTheme="minorEastAsia" w:cs="宋体" w:hint="eastAsia"/>
                <w:sz w:val="21"/>
                <w:szCs w:val="21"/>
              </w:rPr>
              <w:t>活动</w:t>
            </w:r>
          </w:p>
          <w:p w14:paraId="0E9084EA" w14:textId="77777777" w:rsidR="00C5026B" w:rsidRDefault="00C5026B">
            <w:pPr>
              <w:pStyle w:val="TableParagraph"/>
              <w:spacing w:before="8"/>
              <w:rPr>
                <w:rFonts w:asciiTheme="minorEastAsia" w:eastAsiaTheme="minorEastAsia" w:hAnsiTheme="minorEastAsia" w:cs="宋体" w:hint="eastAsia"/>
                <w:sz w:val="21"/>
                <w:szCs w:val="21"/>
              </w:rPr>
            </w:pPr>
          </w:p>
          <w:p w14:paraId="3BF4A315" w14:textId="77777777" w:rsidR="00C5026B" w:rsidRDefault="00000000">
            <w:pPr>
              <w:pStyle w:val="TableParagraph"/>
              <w:ind w:left="107"/>
              <w:rPr>
                <w:rFonts w:asciiTheme="minorEastAsia" w:eastAsiaTheme="minorEastAsia" w:hAnsiTheme="minorEastAsia" w:cs="宋体" w:hint="eastAsia"/>
                <w:sz w:val="21"/>
                <w:szCs w:val="21"/>
              </w:rPr>
            </w:pPr>
            <w:sdt>
              <w:sdtPr>
                <w:rPr>
                  <w:rFonts w:asciiTheme="minorEastAsia" w:eastAsiaTheme="minorEastAsia" w:hAnsiTheme="minorEastAsia" w:cs="宋体" w:hint="eastAsia"/>
                  <w:sz w:val="21"/>
                  <w:szCs w:val="21"/>
                </w:rPr>
                <w:id w:val="-1333366911"/>
                <w14:checkbox>
                  <w14:checked w14:val="0"/>
                  <w14:checkedState w14:val="0052" w14:font="Wingdings 2"/>
                  <w14:uncheckedState w14:val="2610" w14:font="MS Gothic"/>
                </w14:checkbox>
              </w:sdtPr>
              <w:sdtContent>
                <w:r>
                  <w:rPr>
                    <w:rFonts w:ascii="Segoe UI Symbol" w:eastAsiaTheme="minorEastAsia" w:hAnsi="Segoe UI Symbol" w:cs="Segoe UI Symbol"/>
                    <w:sz w:val="21"/>
                    <w:szCs w:val="21"/>
                  </w:rPr>
                  <w:t>☐</w:t>
                </w:r>
              </w:sdtContent>
            </w:sdt>
            <w:r>
              <w:rPr>
                <w:rFonts w:asciiTheme="minorEastAsia" w:eastAsiaTheme="minorEastAsia" w:hAnsiTheme="minorEastAsia" w:cs="宋体" w:hint="eastAsia"/>
                <w:sz w:val="21"/>
                <w:szCs w:val="21"/>
              </w:rPr>
              <w:t>现场参观</w:t>
            </w:r>
          </w:p>
          <w:p w14:paraId="6635B2D0" w14:textId="77777777" w:rsidR="00C5026B" w:rsidRDefault="00C5026B">
            <w:pPr>
              <w:pStyle w:val="TableParagraph"/>
              <w:spacing w:before="11"/>
              <w:rPr>
                <w:rFonts w:asciiTheme="minorEastAsia" w:eastAsiaTheme="minorEastAsia" w:hAnsiTheme="minorEastAsia" w:cs="宋体" w:hint="eastAsia"/>
                <w:sz w:val="21"/>
                <w:szCs w:val="21"/>
              </w:rPr>
            </w:pPr>
          </w:p>
          <w:p w14:paraId="11DF5FAA" w14:textId="77777777" w:rsidR="00C5026B" w:rsidRDefault="00000000">
            <w:pPr>
              <w:pStyle w:val="TableParagraph"/>
              <w:ind w:left="107"/>
              <w:rPr>
                <w:rFonts w:asciiTheme="minorEastAsia" w:eastAsiaTheme="minorEastAsia" w:hAnsiTheme="minorEastAsia" w:cs="宋体" w:hint="eastAsia"/>
                <w:sz w:val="21"/>
                <w:szCs w:val="21"/>
              </w:rPr>
            </w:pPr>
            <w:sdt>
              <w:sdtPr>
                <w:rPr>
                  <w:rFonts w:asciiTheme="minorEastAsia" w:eastAsiaTheme="minorEastAsia" w:hAnsiTheme="minorEastAsia" w:cs="宋体" w:hint="eastAsia"/>
                  <w:sz w:val="21"/>
                  <w:szCs w:val="21"/>
                </w:rPr>
                <w:id w:val="400885218"/>
                <w14:checkbox>
                  <w14:checked w14:val="0"/>
                  <w14:checkedState w14:val="0052" w14:font="Wingdings 2"/>
                  <w14:uncheckedState w14:val="2610" w14:font="MS Gothic"/>
                </w14:checkbox>
              </w:sdtPr>
              <w:sdtContent>
                <w:r>
                  <w:rPr>
                    <w:rFonts w:ascii="Segoe UI Symbol" w:eastAsiaTheme="minorEastAsia" w:hAnsi="Segoe UI Symbol" w:cs="Segoe UI Symbol"/>
                    <w:sz w:val="21"/>
                    <w:szCs w:val="21"/>
                  </w:rPr>
                  <w:t>☐</w:t>
                </w:r>
              </w:sdtContent>
            </w:sdt>
            <w:r>
              <w:rPr>
                <w:rFonts w:asciiTheme="minorEastAsia" w:eastAsiaTheme="minorEastAsia" w:hAnsiTheme="minorEastAsia" w:cs="宋体" w:hint="eastAsia"/>
                <w:sz w:val="21"/>
                <w:szCs w:val="21"/>
              </w:rPr>
              <w:t>其他（</w:t>
            </w:r>
            <w:r>
              <w:rPr>
                <w:rFonts w:asciiTheme="minorEastAsia" w:eastAsiaTheme="minorEastAsia" w:hAnsiTheme="minorEastAsia" w:cs="宋体" w:hint="eastAsia"/>
                <w:sz w:val="21"/>
                <w:szCs w:val="21"/>
                <w:u w:val="single"/>
              </w:rPr>
              <w:t>请文字说明其他活动内容）</w:t>
            </w:r>
          </w:p>
        </w:tc>
      </w:tr>
      <w:tr w:rsidR="00C5026B" w14:paraId="5FA03386" w14:textId="77777777">
        <w:trPr>
          <w:trHeight w:val="1120"/>
          <w:jc w:val="center"/>
        </w:trPr>
        <w:tc>
          <w:tcPr>
            <w:tcW w:w="2580" w:type="dxa"/>
            <w:vAlign w:val="center"/>
          </w:tcPr>
          <w:p w14:paraId="711947C0" w14:textId="77777777" w:rsidR="00C5026B" w:rsidRDefault="00000000">
            <w:pPr>
              <w:pStyle w:val="TableParagraph"/>
              <w:spacing w:line="560" w:lineRule="exact"/>
              <w:ind w:left="107" w:right="96"/>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t>参与单位名称及人员姓名</w:t>
            </w:r>
          </w:p>
        </w:tc>
        <w:tc>
          <w:tcPr>
            <w:tcW w:w="5945" w:type="dxa"/>
            <w:vAlign w:val="center"/>
          </w:tcPr>
          <w:p w14:paraId="53FF598E" w14:textId="6F22536B" w:rsidR="00C5026B" w:rsidRDefault="00000000">
            <w:pPr>
              <w:pStyle w:val="TableParagraph"/>
              <w:spacing w:before="100" w:beforeAutospacing="1" w:line="360" w:lineRule="auto"/>
              <w:jc w:val="both"/>
              <w:rPr>
                <w:rFonts w:asciiTheme="minorEastAsia" w:eastAsiaTheme="minorEastAsia" w:hAnsiTheme="minorEastAsia" w:cs="宋体" w:hint="eastAsia"/>
                <w:sz w:val="21"/>
                <w:szCs w:val="21"/>
              </w:rPr>
            </w:pPr>
            <w:r>
              <w:rPr>
                <w:rFonts w:asciiTheme="minorEastAsia" w:eastAsiaTheme="minorEastAsia" w:hAnsiTheme="minorEastAsia" w:cs="宋体"/>
                <w:sz w:val="21"/>
                <w:szCs w:val="21"/>
              </w:rPr>
              <w:t>国联证券股份有限公司 张天浩；耕霁（上海）投资管理有限公司 王立；长城证券股份有限公司 王泽雷；华福证券研究所 李康瑞；太平洋证券股份有限公司 万伟；上海申银万国证券研究所有限公司 朱栋；共青城润卿私募基金管理合伙企业（有限合伙） 李雄；太平洋证券股份有限公司 刘强；太平洋证券股份有限公司 刘淞；上海朗程投资管理有限公司 董效良；珠海景瑞私募基金管理有限公司 朱韶京；华创证券有限责任公司 梁旭；民生证券股份有限公司 许浚哲；汇丰前海证券有限责任公司 王敦；西部证券股份有限公司 刘荣辉；中银国际证券股份有限公司 顾真；海通证券股份有限公司 马天一；上海保银私募基金管理有限公司 晋奇秀；中泰证券股份有限公司 郭琳；深圳前海华杉投资管理有限公司 申玉婷；中泰证券股份有限公司 曾彪；东兴基金管理有限公司 孙义丽；华安证券股份有限公司 郑洋；深圳市辰禾投资有限公司 吴超；广发证券股份有限公司 高翔；江海证券有限公司 王金帅；中国国际金融股份有限公司 曲昊源；汇丰晋信基金 韦钰；中信建投证券股份有限公司 雷云泽；碧云资本管理有限公司 高新宇</w:t>
            </w:r>
          </w:p>
        </w:tc>
      </w:tr>
      <w:tr w:rsidR="00C5026B" w14:paraId="1AAEEC58" w14:textId="77777777">
        <w:trPr>
          <w:trHeight w:val="558"/>
          <w:jc w:val="center"/>
        </w:trPr>
        <w:tc>
          <w:tcPr>
            <w:tcW w:w="2580" w:type="dxa"/>
            <w:vAlign w:val="center"/>
          </w:tcPr>
          <w:p w14:paraId="35C9F460" w14:textId="77777777" w:rsidR="00C5026B" w:rsidRDefault="00000000">
            <w:pPr>
              <w:pStyle w:val="TableParagraph"/>
              <w:ind w:left="107"/>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t>时间</w:t>
            </w:r>
          </w:p>
        </w:tc>
        <w:tc>
          <w:tcPr>
            <w:tcW w:w="5945" w:type="dxa"/>
            <w:vAlign w:val="center"/>
          </w:tcPr>
          <w:p w14:paraId="5BE743F8" w14:textId="77777777" w:rsidR="00C5026B" w:rsidRDefault="00000000">
            <w:pPr>
              <w:spacing w:before="100" w:beforeAutospacing="1" w:line="360" w:lineRule="auto"/>
              <w:rPr>
                <w:rFonts w:asciiTheme="minorEastAsia" w:eastAsiaTheme="minorEastAsia" w:hAnsiTheme="minorEastAsia" w:hint="eastAsia"/>
                <w:sz w:val="21"/>
                <w:szCs w:val="21"/>
              </w:rPr>
            </w:pPr>
            <w:r>
              <w:rPr>
                <w:rFonts w:asciiTheme="minorEastAsia" w:eastAsiaTheme="minorEastAsia" w:hAnsiTheme="minorEastAsia" w:cstheme="minorEastAsia" w:hint="eastAsia"/>
                <w:sz w:val="21"/>
                <w:szCs w:val="21"/>
              </w:rPr>
              <w:t>2025年04月10日 15:00-16:00</w:t>
            </w:r>
          </w:p>
        </w:tc>
      </w:tr>
      <w:tr w:rsidR="00C5026B" w14:paraId="671A8DEC" w14:textId="77777777">
        <w:trPr>
          <w:trHeight w:val="561"/>
          <w:jc w:val="center"/>
        </w:trPr>
        <w:tc>
          <w:tcPr>
            <w:tcW w:w="2580" w:type="dxa"/>
            <w:vAlign w:val="center"/>
          </w:tcPr>
          <w:p w14:paraId="3553C02B" w14:textId="77777777" w:rsidR="00C5026B" w:rsidRDefault="00000000">
            <w:pPr>
              <w:pStyle w:val="TableParagraph"/>
              <w:ind w:left="107"/>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t>地点</w:t>
            </w:r>
          </w:p>
        </w:tc>
        <w:tc>
          <w:tcPr>
            <w:tcW w:w="5945" w:type="dxa"/>
            <w:vAlign w:val="center"/>
          </w:tcPr>
          <w:p w14:paraId="24F8A39A" w14:textId="77777777" w:rsidR="00C5026B" w:rsidRDefault="00000000">
            <w:pPr>
              <w:pStyle w:val="TableParagraph"/>
              <w:spacing w:before="100" w:beforeAutospacing="1" w:line="360" w:lineRule="auto"/>
              <w:rPr>
                <w:rFonts w:asciiTheme="minorEastAsia" w:eastAsiaTheme="minorEastAsia" w:hAnsiTheme="minorEastAsia" w:cs="宋体" w:hint="eastAsia"/>
                <w:sz w:val="21"/>
                <w:szCs w:val="21"/>
              </w:rPr>
            </w:pPr>
            <w:r>
              <w:rPr>
                <w:rFonts w:asciiTheme="minorEastAsia" w:eastAsiaTheme="minorEastAsia" w:hAnsiTheme="minorEastAsia" w:cs="宋体"/>
                <w:sz w:val="21"/>
                <w:szCs w:val="21"/>
              </w:rPr>
              <w:t>价值在线（https://www.ir-online.cn/）网络互动</w:t>
            </w:r>
          </w:p>
        </w:tc>
      </w:tr>
      <w:tr w:rsidR="00C5026B" w14:paraId="74B2F1E5" w14:textId="77777777">
        <w:trPr>
          <w:trHeight w:val="558"/>
          <w:jc w:val="center"/>
        </w:trPr>
        <w:tc>
          <w:tcPr>
            <w:tcW w:w="2580" w:type="dxa"/>
            <w:vAlign w:val="center"/>
          </w:tcPr>
          <w:p w14:paraId="467E4083" w14:textId="77777777" w:rsidR="00C5026B" w:rsidRDefault="00000000">
            <w:pPr>
              <w:pStyle w:val="TableParagraph"/>
              <w:spacing w:before="1"/>
              <w:ind w:left="107"/>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lastRenderedPageBreak/>
              <w:t>上市公司接待人员姓名</w:t>
            </w:r>
          </w:p>
        </w:tc>
        <w:tc>
          <w:tcPr>
            <w:tcW w:w="5945" w:type="dxa"/>
            <w:vAlign w:val="center"/>
          </w:tcPr>
          <w:p w14:paraId="3E89F9A7" w14:textId="77777777" w:rsidR="00C5026B" w:rsidRDefault="00000000">
            <w:pPr>
              <w:pStyle w:val="TableParagraph"/>
              <w:spacing w:line="360" w:lineRule="auto"/>
              <w:rPr>
                <w:rFonts w:asciiTheme="minorEastAsia" w:eastAsiaTheme="minorEastAsia" w:hAnsiTheme="minorEastAsia" w:cs="宋体" w:hint="eastAsia"/>
                <w:sz w:val="21"/>
                <w:szCs w:val="21"/>
                <w:lang w:val="en-US"/>
              </w:rPr>
            </w:pPr>
            <w:r>
              <w:rPr>
                <w:rFonts w:asciiTheme="minorEastAsia" w:eastAsiaTheme="minorEastAsia" w:hAnsiTheme="minorEastAsia" w:cs="宋体"/>
                <w:sz w:val="21"/>
                <w:szCs w:val="21"/>
                <w:lang w:val="en-US"/>
              </w:rPr>
              <w:t>董事会秘书</w:t>
            </w:r>
            <w:r>
              <w:rPr>
                <w:rFonts w:asciiTheme="minorEastAsia" w:eastAsiaTheme="minorEastAsia" w:hAnsiTheme="minorEastAsia" w:cs="宋体" w:hint="eastAsia"/>
                <w:sz w:val="21"/>
                <w:szCs w:val="21"/>
                <w:lang w:val="en-US"/>
              </w:rPr>
              <w:t>：</w:t>
            </w:r>
            <w:r>
              <w:rPr>
                <w:rFonts w:asciiTheme="minorEastAsia" w:eastAsiaTheme="minorEastAsia" w:hAnsiTheme="minorEastAsia" w:cs="宋体"/>
                <w:sz w:val="21"/>
                <w:szCs w:val="21"/>
                <w:lang w:val="en-US"/>
              </w:rPr>
              <w:t>侯磊</w:t>
            </w:r>
            <w:r>
              <w:rPr>
                <w:rFonts w:asciiTheme="minorEastAsia" w:eastAsiaTheme="minorEastAsia" w:hAnsiTheme="minorEastAsia" w:cs="宋体"/>
                <w:sz w:val="21"/>
                <w:szCs w:val="21"/>
                <w:lang w:val="en-US"/>
              </w:rPr>
              <w:br/>
              <w:t>董事、财务总监</w:t>
            </w:r>
            <w:r>
              <w:rPr>
                <w:rFonts w:asciiTheme="minorEastAsia" w:eastAsiaTheme="minorEastAsia" w:hAnsiTheme="minorEastAsia" w:cs="宋体" w:hint="eastAsia"/>
                <w:sz w:val="21"/>
                <w:szCs w:val="21"/>
                <w:lang w:val="en-US"/>
              </w:rPr>
              <w:t>：</w:t>
            </w:r>
            <w:r>
              <w:rPr>
                <w:rFonts w:asciiTheme="minorEastAsia" w:eastAsiaTheme="minorEastAsia" w:hAnsiTheme="minorEastAsia" w:cs="宋体"/>
                <w:sz w:val="21"/>
                <w:szCs w:val="21"/>
                <w:lang w:val="en-US"/>
              </w:rPr>
              <w:t>邵亮</w:t>
            </w:r>
          </w:p>
          <w:p w14:paraId="272E23B3" w14:textId="77777777" w:rsidR="00C5026B" w:rsidRDefault="00000000">
            <w:pPr>
              <w:pStyle w:val="TableParagraph"/>
              <w:spacing w:line="360" w:lineRule="auto"/>
              <w:rPr>
                <w:rFonts w:hint="eastAsia"/>
              </w:rPr>
            </w:pPr>
            <w:r>
              <w:rPr>
                <w:rFonts w:asciiTheme="minorEastAsia" w:eastAsiaTheme="minorEastAsia" w:hAnsiTheme="minorEastAsia" w:cs="宋体"/>
                <w:sz w:val="21"/>
                <w:szCs w:val="21"/>
                <w:lang w:val="en-US"/>
              </w:rPr>
              <w:t>副总经理、营销总监</w:t>
            </w:r>
            <w:r>
              <w:rPr>
                <w:rFonts w:asciiTheme="minorEastAsia" w:eastAsiaTheme="minorEastAsia" w:hAnsiTheme="minorEastAsia" w:cs="宋体" w:hint="eastAsia"/>
                <w:sz w:val="21"/>
                <w:szCs w:val="21"/>
                <w:lang w:val="en-US"/>
              </w:rPr>
              <w:t>：</w:t>
            </w:r>
            <w:r>
              <w:rPr>
                <w:rFonts w:asciiTheme="minorEastAsia" w:eastAsiaTheme="minorEastAsia" w:hAnsiTheme="minorEastAsia" w:cs="宋体"/>
                <w:sz w:val="21"/>
                <w:szCs w:val="21"/>
                <w:lang w:val="en-US"/>
              </w:rPr>
              <w:t>张长元</w:t>
            </w:r>
            <w:r>
              <w:rPr>
                <w:rFonts w:asciiTheme="minorEastAsia" w:eastAsiaTheme="minorEastAsia" w:hAnsiTheme="minorEastAsia" w:cs="宋体"/>
                <w:sz w:val="21"/>
                <w:szCs w:val="21"/>
                <w:lang w:val="en-US"/>
              </w:rPr>
              <w:br/>
              <w:t>独立董事</w:t>
            </w:r>
            <w:r>
              <w:rPr>
                <w:rFonts w:asciiTheme="minorEastAsia" w:eastAsiaTheme="minorEastAsia" w:hAnsiTheme="minorEastAsia" w:cs="宋体" w:hint="eastAsia"/>
                <w:sz w:val="21"/>
                <w:szCs w:val="21"/>
                <w:lang w:val="en-US"/>
              </w:rPr>
              <w:t>：</w:t>
            </w:r>
            <w:r>
              <w:rPr>
                <w:rFonts w:asciiTheme="minorEastAsia" w:eastAsiaTheme="minorEastAsia" w:hAnsiTheme="minorEastAsia" w:cs="宋体"/>
                <w:sz w:val="21"/>
                <w:szCs w:val="21"/>
                <w:lang w:val="en-US"/>
              </w:rPr>
              <w:t>李田</w:t>
            </w:r>
          </w:p>
        </w:tc>
      </w:tr>
      <w:tr w:rsidR="00C5026B" w14:paraId="54667D18" w14:textId="77777777">
        <w:trPr>
          <w:trHeight w:val="2800"/>
          <w:jc w:val="center"/>
        </w:trPr>
        <w:tc>
          <w:tcPr>
            <w:tcW w:w="2580" w:type="dxa"/>
          </w:tcPr>
          <w:p w14:paraId="2C0B5E1E" w14:textId="77777777" w:rsidR="00C5026B" w:rsidRDefault="00000000">
            <w:pPr>
              <w:pStyle w:val="TableParagraph"/>
              <w:spacing w:before="1" w:line="499" w:lineRule="auto"/>
              <w:ind w:left="107" w:right="96"/>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t>投资者关系活动主要内容介绍</w:t>
            </w:r>
          </w:p>
        </w:tc>
        <w:tc>
          <w:tcPr>
            <w:tcW w:w="5945" w:type="dxa"/>
          </w:tcPr>
          <w:p w14:paraId="76C90F69" w14:textId="77777777" w:rsidR="00C5026B" w:rsidRDefault="00000000">
            <w:pPr>
              <w:pStyle w:val="TableParagraph"/>
              <w:spacing w:before="100" w:beforeAutospacing="1" w:line="360" w:lineRule="auto"/>
              <w:ind w:firstLineChars="200" w:firstLine="422"/>
              <w:rPr>
                <w:rFonts w:asciiTheme="minorEastAsia" w:eastAsiaTheme="minorEastAsia" w:hAnsiTheme="minorEastAsia" w:cs="宋体" w:hint="eastAsia"/>
                <w:b/>
                <w:bCs/>
                <w:sz w:val="21"/>
                <w:szCs w:val="21"/>
                <w:lang w:val="en-US"/>
              </w:rPr>
            </w:pPr>
            <w:r>
              <w:rPr>
                <w:rFonts w:asciiTheme="minorEastAsia" w:eastAsiaTheme="minorEastAsia" w:hAnsiTheme="minorEastAsia" w:cs="宋体" w:hint="eastAsia"/>
                <w:b/>
                <w:bCs/>
                <w:sz w:val="21"/>
                <w:szCs w:val="21"/>
                <w:lang w:val="en-US"/>
              </w:rPr>
              <w:t>一、2024年度公司经营业绩介绍</w:t>
            </w:r>
          </w:p>
          <w:p w14:paraId="5714BD49" w14:textId="6AF699AD" w:rsidR="00C5026B" w:rsidRDefault="00000000">
            <w:pPr>
              <w:pStyle w:val="TableParagraph"/>
              <w:spacing w:before="100" w:beforeAutospacing="1" w:line="360" w:lineRule="auto"/>
              <w:ind w:firstLineChars="200" w:firstLine="420"/>
              <w:jc w:val="both"/>
              <w:rPr>
                <w:rFonts w:asciiTheme="minorEastAsia" w:eastAsiaTheme="minorEastAsia" w:hAnsiTheme="minorEastAsia" w:cs="宋体" w:hint="eastAsia"/>
                <w:sz w:val="21"/>
                <w:szCs w:val="21"/>
                <w:lang w:val="en-US"/>
              </w:rPr>
            </w:pPr>
            <w:r>
              <w:rPr>
                <w:rFonts w:asciiTheme="minorEastAsia" w:eastAsiaTheme="minorEastAsia" w:hAnsiTheme="minorEastAsia" w:cs="宋体" w:hint="eastAsia"/>
                <w:sz w:val="21"/>
                <w:szCs w:val="21"/>
                <w:lang w:val="en-US"/>
              </w:rPr>
              <w:t>2024年，公司实现营业收入19.18亿元，同比增长12.75%；实现归属于上市公司股东的净利润1.74亿元，同比增长5.27%。截至2024年末，公司总资产30.15亿元，同比增长9.44%；净资产13.82亿元，同比增长8.53%；</w:t>
            </w:r>
            <w:r w:rsidR="00295624">
              <w:rPr>
                <w:rFonts w:asciiTheme="minorEastAsia" w:eastAsiaTheme="minorEastAsia" w:hAnsiTheme="minorEastAsia" w:cs="宋体" w:hint="eastAsia"/>
                <w:sz w:val="21"/>
                <w:szCs w:val="21"/>
                <w:lang w:val="en-US"/>
              </w:rPr>
              <w:t>经营活动现金净流量2.39亿元；</w:t>
            </w:r>
            <w:r>
              <w:rPr>
                <w:rFonts w:asciiTheme="minorEastAsia" w:eastAsiaTheme="minorEastAsia" w:hAnsiTheme="minorEastAsia" w:cs="宋体" w:hint="eastAsia"/>
                <w:sz w:val="21"/>
                <w:szCs w:val="21"/>
                <w:lang w:val="en-US"/>
              </w:rPr>
              <w:t>资产负债率53.64%。基本每股收益1.25元，扣非后每股收益1.22元；研发费用占营业收入比例为4.51%。</w:t>
            </w:r>
          </w:p>
          <w:p w14:paraId="6BCBD442" w14:textId="77777777" w:rsidR="00C5026B" w:rsidRDefault="00000000">
            <w:pPr>
              <w:spacing w:line="360" w:lineRule="auto"/>
              <w:ind w:firstLineChars="200" w:firstLine="422"/>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
                <w:sz w:val="21"/>
                <w:szCs w:val="21"/>
                <w:lang w:val="en-US"/>
              </w:rPr>
              <w:t>二、</w:t>
            </w:r>
            <w:r>
              <w:rPr>
                <w:rFonts w:asciiTheme="minorEastAsia" w:eastAsiaTheme="minorEastAsia" w:hAnsiTheme="minorEastAsia" w:cstheme="minorEastAsia" w:hint="eastAsia"/>
                <w:b/>
                <w:sz w:val="21"/>
                <w:szCs w:val="21"/>
              </w:rPr>
              <w:t>互动交流环节</w:t>
            </w:r>
          </w:p>
          <w:p w14:paraId="593E6D10" w14:textId="77777777" w:rsidR="00C5026B" w:rsidRDefault="00C5026B">
            <w:pPr>
              <w:spacing w:line="360" w:lineRule="auto"/>
              <w:ind w:firstLineChars="200" w:firstLine="420"/>
              <w:rPr>
                <w:rFonts w:asciiTheme="minorEastAsia" w:eastAsiaTheme="minorEastAsia" w:hAnsiTheme="minorEastAsia" w:cstheme="minorEastAsia" w:hint="eastAsia"/>
                <w:bCs/>
                <w:sz w:val="21"/>
                <w:szCs w:val="21"/>
              </w:rPr>
            </w:pPr>
          </w:p>
          <w:p w14:paraId="3494ABA8" w14:textId="77777777" w:rsidR="00C5026B" w:rsidRDefault="00000000">
            <w:pPr>
              <w:spacing w:line="360" w:lineRule="auto"/>
              <w:jc w:val="both"/>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Cs/>
                <w:sz w:val="21"/>
                <w:szCs w:val="21"/>
              </w:rPr>
              <w:t xml:space="preserve">   </w:t>
            </w:r>
            <w:r>
              <w:rPr>
                <w:rFonts w:asciiTheme="minorEastAsia" w:eastAsiaTheme="minorEastAsia" w:hAnsiTheme="minorEastAsia" w:cstheme="minorEastAsia" w:hint="eastAsia"/>
                <w:b/>
                <w:sz w:val="21"/>
                <w:szCs w:val="21"/>
              </w:rPr>
              <w:t xml:space="preserve"> 问题1：</w:t>
            </w:r>
            <w:r>
              <w:rPr>
                <w:rFonts w:asciiTheme="minorEastAsia" w:eastAsiaTheme="minorEastAsia" w:hAnsiTheme="minorEastAsia" w:cstheme="minorEastAsia" w:hint="eastAsia"/>
                <w:b/>
                <w:sz w:val="21"/>
                <w:szCs w:val="21"/>
                <w:lang w:val="en-US"/>
              </w:rPr>
              <w:t>公司</w:t>
            </w:r>
            <w:r>
              <w:rPr>
                <w:rFonts w:asciiTheme="minorEastAsia" w:eastAsiaTheme="minorEastAsia" w:hAnsiTheme="minorEastAsia" w:cstheme="minorEastAsia" w:hint="eastAsia"/>
                <w:b/>
                <w:sz w:val="21"/>
                <w:szCs w:val="21"/>
              </w:rPr>
              <w:t>对2025年整体产品市场情况如何看？</w:t>
            </w:r>
          </w:p>
          <w:p w14:paraId="6B4E79F5" w14:textId="77777777" w:rsidR="00C5026B" w:rsidRDefault="00000000">
            <w:pPr>
              <w:spacing w:line="360" w:lineRule="auto"/>
              <w:ind w:firstLineChars="200" w:firstLine="420"/>
              <w:jc w:val="both"/>
              <w:rPr>
                <w:rFonts w:asciiTheme="minorEastAsia" w:eastAsiaTheme="minorEastAsia" w:hAnsiTheme="minorEastAsia" w:cstheme="minorEastAsia" w:hint="eastAsia"/>
                <w:bCs/>
                <w:sz w:val="21"/>
                <w:szCs w:val="21"/>
              </w:rPr>
            </w:pPr>
            <w:r>
              <w:rPr>
                <w:rFonts w:asciiTheme="minorEastAsia" w:eastAsiaTheme="minorEastAsia" w:hAnsiTheme="minorEastAsia" w:cstheme="minorEastAsia" w:hint="eastAsia"/>
                <w:bCs/>
                <w:sz w:val="21"/>
                <w:szCs w:val="21"/>
              </w:rPr>
              <w:t>答：（1）变频器产品市场</w:t>
            </w:r>
            <w:r>
              <w:rPr>
                <w:rFonts w:asciiTheme="minorEastAsia" w:eastAsiaTheme="minorEastAsia" w:hAnsiTheme="minorEastAsia" w:cstheme="minorEastAsia" w:hint="eastAsia"/>
                <w:bCs/>
                <w:sz w:val="21"/>
                <w:szCs w:val="21"/>
                <w:lang w:val="en-US"/>
              </w:rPr>
              <w:t>方面</w:t>
            </w:r>
            <w:r>
              <w:rPr>
                <w:rFonts w:asciiTheme="minorEastAsia" w:eastAsiaTheme="minorEastAsia" w:hAnsiTheme="minorEastAsia" w:cstheme="minorEastAsia" w:hint="eastAsia"/>
                <w:bCs/>
                <w:sz w:val="21"/>
                <w:szCs w:val="21"/>
              </w:rPr>
              <w:t>：一是国家批复“三个8千万”火电项目的建设，</w:t>
            </w:r>
            <w:r>
              <w:rPr>
                <w:rFonts w:asciiTheme="minorEastAsia" w:eastAsiaTheme="minorEastAsia" w:hAnsiTheme="minorEastAsia" w:cstheme="minorEastAsia" w:hint="eastAsia"/>
                <w:bCs/>
                <w:sz w:val="21"/>
                <w:szCs w:val="21"/>
                <w:lang w:val="en-US"/>
              </w:rPr>
              <w:t>火电作为</w:t>
            </w:r>
            <w:r>
              <w:rPr>
                <w:rFonts w:asciiTheme="minorEastAsia" w:eastAsiaTheme="minorEastAsia" w:hAnsiTheme="minorEastAsia" w:cstheme="minorEastAsia" w:hint="eastAsia"/>
                <w:bCs/>
                <w:sz w:val="21"/>
                <w:szCs w:val="21"/>
              </w:rPr>
              <w:t>新风光的优势</w:t>
            </w:r>
            <w:r>
              <w:rPr>
                <w:rFonts w:asciiTheme="minorEastAsia" w:eastAsiaTheme="minorEastAsia" w:hAnsiTheme="minorEastAsia" w:cstheme="minorEastAsia" w:hint="eastAsia"/>
                <w:bCs/>
                <w:sz w:val="21"/>
                <w:szCs w:val="21"/>
                <w:lang w:val="en-US"/>
              </w:rPr>
              <w:t>应用</w:t>
            </w:r>
            <w:r>
              <w:rPr>
                <w:rFonts w:asciiTheme="minorEastAsia" w:eastAsiaTheme="minorEastAsia" w:hAnsiTheme="minorEastAsia" w:cstheme="minorEastAsia" w:hint="eastAsia"/>
                <w:bCs/>
                <w:sz w:val="21"/>
                <w:szCs w:val="21"/>
              </w:rPr>
              <w:t>行业会带来新的市场增长机会；二是电机能效提升方面，老旧电机改造，之前主要使用进口变频器，现在逐渐接受国产产品；</w:t>
            </w:r>
            <w:r>
              <w:rPr>
                <w:rFonts w:asciiTheme="minorEastAsia" w:eastAsiaTheme="minorEastAsia" w:hAnsiTheme="minorEastAsia" w:cstheme="minorEastAsia" w:hint="eastAsia"/>
                <w:bCs/>
                <w:sz w:val="21"/>
                <w:szCs w:val="21"/>
                <w:lang w:val="en-US"/>
              </w:rPr>
              <w:t>三是</w:t>
            </w:r>
            <w:r>
              <w:rPr>
                <w:rFonts w:asciiTheme="minorEastAsia" w:eastAsiaTheme="minorEastAsia" w:hAnsiTheme="minorEastAsia" w:cstheme="minorEastAsia" w:hint="eastAsia"/>
                <w:bCs/>
                <w:sz w:val="21"/>
                <w:szCs w:val="21"/>
              </w:rPr>
              <w:t>钢铁、铝等高能耗企业面临电机能耗考核，国家要求使用IE4低能耗电机，永磁同步电机和变频器天然耦合，可带来增量；</w:t>
            </w:r>
            <w:r>
              <w:rPr>
                <w:rFonts w:asciiTheme="minorEastAsia" w:eastAsiaTheme="minorEastAsia" w:hAnsiTheme="minorEastAsia" w:cstheme="minorEastAsia" w:hint="eastAsia"/>
                <w:bCs/>
                <w:sz w:val="21"/>
                <w:szCs w:val="21"/>
                <w:lang w:val="en-US"/>
              </w:rPr>
              <w:t>四是</w:t>
            </w:r>
            <w:r>
              <w:rPr>
                <w:rFonts w:asciiTheme="minorEastAsia" w:eastAsiaTheme="minorEastAsia" w:hAnsiTheme="minorEastAsia" w:cstheme="minorEastAsia" w:hint="eastAsia"/>
                <w:bCs/>
                <w:sz w:val="21"/>
                <w:szCs w:val="21"/>
              </w:rPr>
              <w:t>高速风机，磁悬浮的高速风机，大型工程空调的压缩机现在都变成了高速风机，输出频率高，技术门槛比较高，新风光具备</w:t>
            </w:r>
            <w:r>
              <w:rPr>
                <w:rFonts w:asciiTheme="minorEastAsia" w:eastAsiaTheme="minorEastAsia" w:hAnsiTheme="minorEastAsia" w:cstheme="minorEastAsia" w:hint="eastAsia"/>
                <w:bCs/>
                <w:sz w:val="21"/>
                <w:szCs w:val="21"/>
                <w:lang w:val="en-US"/>
              </w:rPr>
              <w:t>一定优势的</w:t>
            </w:r>
            <w:r>
              <w:rPr>
                <w:rFonts w:asciiTheme="minorEastAsia" w:eastAsiaTheme="minorEastAsia" w:hAnsiTheme="minorEastAsia" w:cstheme="minorEastAsia" w:hint="eastAsia"/>
                <w:bCs/>
                <w:sz w:val="21"/>
                <w:szCs w:val="21"/>
              </w:rPr>
              <w:t>竞争力。（2）SVG产品市场</w:t>
            </w:r>
            <w:r>
              <w:rPr>
                <w:rFonts w:asciiTheme="minorEastAsia" w:eastAsiaTheme="minorEastAsia" w:hAnsiTheme="minorEastAsia" w:cstheme="minorEastAsia" w:hint="eastAsia"/>
                <w:bCs/>
                <w:sz w:val="21"/>
                <w:szCs w:val="21"/>
                <w:lang w:val="en-US"/>
              </w:rPr>
              <w:t>方面</w:t>
            </w:r>
            <w:r>
              <w:rPr>
                <w:rFonts w:asciiTheme="minorEastAsia" w:eastAsiaTheme="minorEastAsia" w:hAnsiTheme="minorEastAsia" w:cstheme="minorEastAsia" w:hint="eastAsia"/>
                <w:bCs/>
                <w:sz w:val="21"/>
                <w:szCs w:val="21"/>
              </w:rPr>
              <w:t>：一是今年国家发改委、国家能源局发布《关于深化新能源上网电价市场化改革促进新能源高质量发展的通知》，在4</w:t>
            </w:r>
            <w:r>
              <w:rPr>
                <w:rFonts w:asciiTheme="minorEastAsia" w:eastAsiaTheme="minorEastAsia" w:hAnsiTheme="minorEastAsia" w:cstheme="minorEastAsia" w:hint="eastAsia"/>
                <w:bCs/>
                <w:sz w:val="21"/>
                <w:szCs w:val="21"/>
                <w:lang w:val="en-US"/>
              </w:rPr>
              <w:t>.</w:t>
            </w:r>
            <w:r>
              <w:rPr>
                <w:rFonts w:asciiTheme="minorEastAsia" w:eastAsiaTheme="minorEastAsia" w:hAnsiTheme="minorEastAsia" w:cstheme="minorEastAsia" w:hint="eastAsia"/>
                <w:bCs/>
                <w:sz w:val="21"/>
                <w:szCs w:val="21"/>
              </w:rPr>
              <w:t>30和5</w:t>
            </w:r>
            <w:r>
              <w:rPr>
                <w:rFonts w:asciiTheme="minorEastAsia" w:eastAsiaTheme="minorEastAsia" w:hAnsiTheme="minorEastAsia" w:cstheme="minorEastAsia" w:hint="eastAsia"/>
                <w:bCs/>
                <w:sz w:val="21"/>
                <w:szCs w:val="21"/>
                <w:lang w:val="en-US"/>
              </w:rPr>
              <w:t>.</w:t>
            </w:r>
            <w:r>
              <w:rPr>
                <w:rFonts w:asciiTheme="minorEastAsia" w:eastAsiaTheme="minorEastAsia" w:hAnsiTheme="minorEastAsia" w:cstheme="minorEastAsia" w:hint="eastAsia"/>
                <w:bCs/>
                <w:sz w:val="21"/>
                <w:szCs w:val="21"/>
              </w:rPr>
              <w:t>31两个</w:t>
            </w:r>
            <w:r>
              <w:rPr>
                <w:rFonts w:asciiTheme="minorEastAsia" w:eastAsiaTheme="minorEastAsia" w:hAnsiTheme="minorEastAsia" w:cstheme="minorEastAsia" w:hint="eastAsia"/>
                <w:bCs/>
                <w:sz w:val="21"/>
                <w:szCs w:val="21"/>
                <w:lang w:val="en-US"/>
              </w:rPr>
              <w:t>时间</w:t>
            </w:r>
            <w:r>
              <w:rPr>
                <w:rFonts w:asciiTheme="minorEastAsia" w:eastAsiaTheme="minorEastAsia" w:hAnsiTheme="minorEastAsia" w:cstheme="minorEastAsia" w:hint="eastAsia"/>
                <w:bCs/>
                <w:sz w:val="21"/>
                <w:szCs w:val="21"/>
              </w:rPr>
              <w:t>节点，市场处于火爆的状态；二是国家鼓励农村、公共建筑铺设光伏板的政策为SVG产品带来新的市场需求；三是国家倡导零碳园区建设、源网荷储</w:t>
            </w:r>
            <w:r>
              <w:rPr>
                <w:rFonts w:asciiTheme="minorEastAsia" w:eastAsiaTheme="minorEastAsia" w:hAnsiTheme="minorEastAsia" w:cstheme="minorEastAsia" w:hint="eastAsia"/>
                <w:bCs/>
                <w:sz w:val="21"/>
                <w:szCs w:val="21"/>
                <w:lang w:val="en-US"/>
              </w:rPr>
              <w:t>建设</w:t>
            </w:r>
            <w:r>
              <w:rPr>
                <w:rFonts w:asciiTheme="minorEastAsia" w:eastAsiaTheme="minorEastAsia" w:hAnsiTheme="minorEastAsia" w:cstheme="minorEastAsia" w:hint="eastAsia"/>
                <w:bCs/>
                <w:sz w:val="21"/>
                <w:szCs w:val="21"/>
              </w:rPr>
              <w:t>均为SVG产品带来新的增量市场；四是2025年风电装机</w:t>
            </w:r>
            <w:r>
              <w:rPr>
                <w:rFonts w:asciiTheme="minorEastAsia" w:eastAsiaTheme="minorEastAsia" w:hAnsiTheme="minorEastAsia" w:cstheme="minorEastAsia" w:hint="eastAsia"/>
                <w:bCs/>
                <w:sz w:val="21"/>
                <w:szCs w:val="21"/>
                <w:lang w:val="en-US"/>
              </w:rPr>
              <w:t>量</w:t>
            </w:r>
            <w:r>
              <w:rPr>
                <w:rFonts w:asciiTheme="minorEastAsia" w:eastAsiaTheme="minorEastAsia" w:hAnsiTheme="minorEastAsia" w:cstheme="minorEastAsia" w:hint="eastAsia"/>
                <w:bCs/>
                <w:sz w:val="21"/>
                <w:szCs w:val="21"/>
              </w:rPr>
              <w:t>会持续增加，</w:t>
            </w:r>
            <w:bookmarkStart w:id="0" w:name="OLE_LINK1"/>
            <w:r>
              <w:rPr>
                <w:rFonts w:asciiTheme="minorEastAsia" w:eastAsiaTheme="minorEastAsia" w:hAnsiTheme="minorEastAsia" w:cstheme="minorEastAsia" w:hint="eastAsia"/>
                <w:bCs/>
                <w:sz w:val="21"/>
                <w:szCs w:val="21"/>
              </w:rPr>
              <w:t>沙戈荒大基地建设</w:t>
            </w:r>
            <w:bookmarkEnd w:id="0"/>
            <w:r>
              <w:rPr>
                <w:rFonts w:asciiTheme="minorEastAsia" w:eastAsiaTheme="minorEastAsia" w:hAnsiTheme="minorEastAsia" w:cstheme="minorEastAsia" w:hint="eastAsia"/>
                <w:bCs/>
                <w:sz w:val="21"/>
                <w:szCs w:val="21"/>
              </w:rPr>
              <w:t>对大容量SVG的需求也会增加。因此，2025年整体产品市场情况是</w:t>
            </w:r>
            <w:r>
              <w:rPr>
                <w:rFonts w:asciiTheme="minorEastAsia" w:eastAsiaTheme="minorEastAsia" w:hAnsiTheme="minorEastAsia" w:cstheme="minorEastAsia" w:hint="eastAsia"/>
                <w:bCs/>
                <w:sz w:val="21"/>
                <w:szCs w:val="21"/>
                <w:lang w:val="en-US"/>
              </w:rPr>
              <w:t>比较</w:t>
            </w:r>
            <w:r>
              <w:rPr>
                <w:rFonts w:asciiTheme="minorEastAsia" w:eastAsiaTheme="minorEastAsia" w:hAnsiTheme="minorEastAsia" w:cstheme="minorEastAsia" w:hint="eastAsia"/>
                <w:bCs/>
                <w:sz w:val="21"/>
                <w:szCs w:val="21"/>
              </w:rPr>
              <w:t>乐观的。</w:t>
            </w:r>
          </w:p>
          <w:p w14:paraId="41C7E175" w14:textId="77777777" w:rsidR="00C5026B" w:rsidRDefault="00C5026B">
            <w:pPr>
              <w:spacing w:line="360" w:lineRule="auto"/>
              <w:jc w:val="both"/>
              <w:rPr>
                <w:rFonts w:asciiTheme="minorEastAsia" w:eastAsiaTheme="minorEastAsia" w:hAnsiTheme="minorEastAsia" w:cstheme="minorEastAsia" w:hint="eastAsia"/>
                <w:bCs/>
                <w:sz w:val="21"/>
                <w:szCs w:val="21"/>
              </w:rPr>
            </w:pPr>
          </w:p>
          <w:p w14:paraId="7A10E3EA" w14:textId="77777777" w:rsidR="00C5026B" w:rsidRDefault="00000000">
            <w:pPr>
              <w:spacing w:line="360" w:lineRule="auto"/>
              <w:ind w:firstLineChars="200" w:firstLine="422"/>
              <w:jc w:val="both"/>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
                <w:sz w:val="21"/>
                <w:szCs w:val="21"/>
              </w:rPr>
              <w:t>问题2：公司</w:t>
            </w:r>
            <w:r>
              <w:rPr>
                <w:rFonts w:asciiTheme="minorEastAsia" w:eastAsiaTheme="minorEastAsia" w:hAnsiTheme="minorEastAsia" w:cstheme="minorEastAsia" w:hint="eastAsia"/>
                <w:b/>
                <w:sz w:val="21"/>
                <w:szCs w:val="21"/>
                <w:lang w:val="en-US"/>
              </w:rPr>
              <w:t>产品如何应用</w:t>
            </w:r>
            <w:r>
              <w:rPr>
                <w:rFonts w:asciiTheme="minorEastAsia" w:eastAsiaTheme="minorEastAsia" w:hAnsiTheme="minorEastAsia" w:cstheme="minorEastAsia" w:hint="eastAsia"/>
                <w:b/>
                <w:sz w:val="21"/>
                <w:szCs w:val="21"/>
              </w:rPr>
              <w:t>在数据中心领域？</w:t>
            </w:r>
          </w:p>
          <w:p w14:paraId="1151D481" w14:textId="77777777" w:rsidR="00C5026B" w:rsidRDefault="00000000">
            <w:pPr>
              <w:spacing w:line="360" w:lineRule="auto"/>
              <w:ind w:firstLineChars="200" w:firstLine="420"/>
              <w:jc w:val="both"/>
              <w:rPr>
                <w:rFonts w:asciiTheme="minorEastAsia" w:eastAsiaTheme="minorEastAsia" w:hAnsiTheme="minorEastAsia" w:cstheme="minorEastAsia" w:hint="eastAsia"/>
                <w:bCs/>
                <w:sz w:val="21"/>
                <w:szCs w:val="21"/>
              </w:rPr>
            </w:pPr>
            <w:r>
              <w:rPr>
                <w:rFonts w:asciiTheme="minorEastAsia" w:eastAsiaTheme="minorEastAsia" w:hAnsiTheme="minorEastAsia" w:cstheme="minorEastAsia" w:hint="eastAsia"/>
                <w:bCs/>
                <w:sz w:val="21"/>
                <w:szCs w:val="21"/>
              </w:rPr>
              <w:t>答：公司可为数据中心提供高、低压变频器、应急电源、低</w:t>
            </w:r>
            <w:r>
              <w:rPr>
                <w:rFonts w:asciiTheme="minorEastAsia" w:eastAsiaTheme="minorEastAsia" w:hAnsiTheme="minorEastAsia" w:cstheme="minorEastAsia" w:hint="eastAsia"/>
                <w:bCs/>
                <w:sz w:val="21"/>
                <w:szCs w:val="21"/>
              </w:rPr>
              <w:lastRenderedPageBreak/>
              <w:t>压APF和低压SVG产品。具体应用上来说，一是数据中心的环控系统即冷水机组对高压变频器的需求比较强劲，二是低压谐波治理产品，</w:t>
            </w:r>
            <w:r>
              <w:rPr>
                <w:rFonts w:asciiTheme="minorEastAsia" w:eastAsiaTheme="minorEastAsia" w:hAnsiTheme="minorEastAsia" w:cstheme="minorEastAsia" w:hint="eastAsia"/>
                <w:bCs/>
                <w:sz w:val="21"/>
                <w:szCs w:val="21"/>
                <w:lang w:val="en-US"/>
              </w:rPr>
              <w:t>公司对于</w:t>
            </w:r>
            <w:r>
              <w:rPr>
                <w:rFonts w:asciiTheme="minorEastAsia" w:eastAsiaTheme="minorEastAsia" w:hAnsiTheme="minorEastAsia" w:cstheme="minorEastAsia" w:hint="eastAsia"/>
                <w:bCs/>
                <w:sz w:val="21"/>
                <w:szCs w:val="21"/>
              </w:rPr>
              <w:t>低压APF和低压SVG产品一直有技术储备和相关的资质认证，由于公司的销售体系，之前没有把这两个产品作为销售的重点方向，对于公司来说没有技术门槛和技术障碍。三是应急电源</w:t>
            </w:r>
            <w:r>
              <w:rPr>
                <w:rFonts w:asciiTheme="minorEastAsia" w:eastAsiaTheme="minorEastAsia" w:hAnsiTheme="minorEastAsia" w:cstheme="minorEastAsia" w:hint="eastAsia"/>
                <w:bCs/>
                <w:sz w:val="21"/>
                <w:szCs w:val="21"/>
                <w:lang w:val="en-US"/>
              </w:rPr>
              <w:t>产品</w:t>
            </w:r>
            <w:r>
              <w:rPr>
                <w:rFonts w:asciiTheme="minorEastAsia" w:eastAsiaTheme="minorEastAsia" w:hAnsiTheme="minorEastAsia" w:cstheme="minorEastAsia" w:hint="eastAsia"/>
                <w:bCs/>
                <w:sz w:val="21"/>
                <w:szCs w:val="21"/>
              </w:rPr>
              <w:t>，目前数据中心大部分应急电源采用的是铅酸电池或者柴油发电机，存在排放效率、安全、污染问题，为了保证数据中心的安全可靠运行，可通过双回路供电，加上应急电源解决，应急电源会成为数据中心的刚需产品。</w:t>
            </w:r>
          </w:p>
          <w:p w14:paraId="4B84F41A" w14:textId="77777777" w:rsidR="00C5026B" w:rsidRDefault="00C5026B">
            <w:pPr>
              <w:spacing w:line="360" w:lineRule="auto"/>
              <w:jc w:val="both"/>
              <w:rPr>
                <w:rFonts w:asciiTheme="minorEastAsia" w:eastAsiaTheme="minorEastAsia" w:hAnsiTheme="minorEastAsia" w:cstheme="minorEastAsia" w:hint="eastAsia"/>
                <w:bCs/>
                <w:sz w:val="21"/>
                <w:szCs w:val="21"/>
              </w:rPr>
            </w:pPr>
          </w:p>
          <w:p w14:paraId="1F282239" w14:textId="77777777" w:rsidR="00C5026B" w:rsidRDefault="00000000">
            <w:pPr>
              <w:spacing w:line="360" w:lineRule="auto"/>
              <w:ind w:firstLineChars="200" w:firstLine="422"/>
              <w:jc w:val="both"/>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
                <w:sz w:val="21"/>
                <w:szCs w:val="21"/>
              </w:rPr>
              <w:t>问题3：今年公司储能产品毛利率会有提升吗？</w:t>
            </w:r>
          </w:p>
          <w:p w14:paraId="3C3409B0" w14:textId="77777777" w:rsidR="00C5026B" w:rsidRDefault="00000000">
            <w:pPr>
              <w:spacing w:line="360" w:lineRule="auto"/>
              <w:ind w:firstLineChars="200" w:firstLine="420"/>
              <w:jc w:val="both"/>
              <w:rPr>
                <w:rFonts w:asciiTheme="minorEastAsia" w:eastAsiaTheme="minorEastAsia" w:hAnsiTheme="minorEastAsia" w:cstheme="minorEastAsia" w:hint="eastAsia"/>
                <w:bCs/>
                <w:sz w:val="21"/>
                <w:szCs w:val="21"/>
              </w:rPr>
            </w:pPr>
            <w:r>
              <w:rPr>
                <w:rFonts w:asciiTheme="minorEastAsia" w:eastAsiaTheme="minorEastAsia" w:hAnsiTheme="minorEastAsia" w:cstheme="minorEastAsia" w:hint="eastAsia"/>
                <w:bCs/>
                <w:sz w:val="21"/>
                <w:szCs w:val="21"/>
              </w:rPr>
              <w:t>答：今年储能的毛利率</w:t>
            </w:r>
            <w:r>
              <w:rPr>
                <w:rFonts w:asciiTheme="minorEastAsia" w:eastAsiaTheme="minorEastAsia" w:hAnsiTheme="minorEastAsia" w:cstheme="minorEastAsia" w:hint="eastAsia"/>
                <w:bCs/>
                <w:sz w:val="21"/>
                <w:szCs w:val="21"/>
                <w:lang w:val="en-US"/>
              </w:rPr>
              <w:t>预计</w:t>
            </w:r>
            <w:r>
              <w:rPr>
                <w:rFonts w:asciiTheme="minorEastAsia" w:eastAsiaTheme="minorEastAsia" w:hAnsiTheme="minorEastAsia" w:cstheme="minorEastAsia" w:hint="eastAsia"/>
                <w:bCs/>
                <w:sz w:val="21"/>
                <w:szCs w:val="21"/>
              </w:rPr>
              <w:t>会有所提升，公司对储能产品的定位重点还是高压级联、PCS产品、工商业储能，通过调整销售结构提高毛利率。另外，PCS产品随着规模的增加放量，会产生规模效应，PCS产品毛利率有比去年提高的趋势。</w:t>
            </w:r>
          </w:p>
          <w:p w14:paraId="2826F6E7" w14:textId="77777777" w:rsidR="00C5026B" w:rsidRDefault="00C5026B">
            <w:pPr>
              <w:spacing w:line="360" w:lineRule="auto"/>
              <w:jc w:val="both"/>
              <w:rPr>
                <w:rFonts w:asciiTheme="minorEastAsia" w:eastAsiaTheme="minorEastAsia" w:hAnsiTheme="minorEastAsia" w:cstheme="minorEastAsia" w:hint="eastAsia"/>
                <w:bCs/>
                <w:sz w:val="21"/>
                <w:szCs w:val="21"/>
              </w:rPr>
            </w:pPr>
          </w:p>
          <w:p w14:paraId="31A68496" w14:textId="77777777" w:rsidR="00C5026B" w:rsidRDefault="00000000">
            <w:pPr>
              <w:spacing w:line="360" w:lineRule="auto"/>
              <w:ind w:firstLineChars="200" w:firstLine="422"/>
              <w:jc w:val="both"/>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
                <w:sz w:val="21"/>
                <w:szCs w:val="21"/>
              </w:rPr>
              <w:t>问题4：请问电网招标的电压等级是多少？功率段大概是什么范围？</w:t>
            </w:r>
          </w:p>
          <w:p w14:paraId="0C5ECC87" w14:textId="77777777" w:rsidR="00C5026B" w:rsidRDefault="00000000">
            <w:pPr>
              <w:spacing w:line="360" w:lineRule="auto"/>
              <w:ind w:firstLineChars="200" w:firstLine="420"/>
              <w:jc w:val="both"/>
              <w:rPr>
                <w:rFonts w:asciiTheme="minorEastAsia" w:eastAsiaTheme="minorEastAsia" w:hAnsiTheme="minorEastAsia" w:cstheme="minorEastAsia" w:hint="eastAsia"/>
                <w:bCs/>
                <w:sz w:val="21"/>
                <w:szCs w:val="21"/>
              </w:rPr>
            </w:pPr>
            <w:r>
              <w:rPr>
                <w:rFonts w:asciiTheme="minorEastAsia" w:eastAsiaTheme="minorEastAsia" w:hAnsiTheme="minorEastAsia" w:cstheme="minorEastAsia" w:hint="eastAsia"/>
                <w:bCs/>
                <w:sz w:val="21"/>
                <w:szCs w:val="21"/>
              </w:rPr>
              <w:t>答：电网招标的电压等级分为10千伏和35千伏，其中35千伏应用于配网和变电站。此外，系统中也会使用66千伏。功率等级大致从5兆到几十兆，功率段分布较宽。</w:t>
            </w:r>
          </w:p>
          <w:p w14:paraId="58051D07" w14:textId="77777777" w:rsidR="00C5026B" w:rsidRDefault="00C5026B">
            <w:pPr>
              <w:spacing w:line="360" w:lineRule="auto"/>
              <w:jc w:val="both"/>
              <w:rPr>
                <w:rFonts w:asciiTheme="minorEastAsia" w:eastAsiaTheme="minorEastAsia" w:hAnsiTheme="minorEastAsia" w:cstheme="minorEastAsia" w:hint="eastAsia"/>
                <w:bCs/>
                <w:sz w:val="21"/>
                <w:szCs w:val="21"/>
              </w:rPr>
            </w:pPr>
          </w:p>
          <w:p w14:paraId="7AD8B05A" w14:textId="77777777" w:rsidR="00C5026B" w:rsidRDefault="00000000">
            <w:pPr>
              <w:spacing w:line="360" w:lineRule="auto"/>
              <w:ind w:firstLineChars="200" w:firstLine="422"/>
              <w:jc w:val="both"/>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
                <w:sz w:val="21"/>
                <w:szCs w:val="21"/>
                <w:lang w:val="en-US"/>
              </w:rPr>
              <w:t>问题5</w:t>
            </w:r>
            <w:r>
              <w:rPr>
                <w:rFonts w:asciiTheme="minorEastAsia" w:eastAsiaTheme="minorEastAsia" w:hAnsiTheme="minorEastAsia" w:cstheme="minorEastAsia" w:hint="eastAsia"/>
                <w:b/>
                <w:sz w:val="21"/>
                <w:szCs w:val="21"/>
              </w:rPr>
              <w:t>：请问高压级联储能系统相比集中式系统在效率和市场认可度上有何优势？效率提升大概是多少？</w:t>
            </w:r>
          </w:p>
          <w:p w14:paraId="2D321D28" w14:textId="77777777" w:rsidR="00C5026B" w:rsidRDefault="00000000">
            <w:pPr>
              <w:spacing w:line="360" w:lineRule="auto"/>
              <w:ind w:firstLineChars="200" w:firstLine="420"/>
              <w:jc w:val="both"/>
              <w:rPr>
                <w:rFonts w:asciiTheme="minorEastAsia" w:eastAsiaTheme="minorEastAsia" w:hAnsiTheme="minorEastAsia" w:cstheme="minorEastAsia" w:hint="eastAsia"/>
                <w:bCs/>
                <w:sz w:val="21"/>
                <w:szCs w:val="21"/>
              </w:rPr>
            </w:pPr>
            <w:r>
              <w:rPr>
                <w:rFonts w:asciiTheme="minorEastAsia" w:eastAsiaTheme="minorEastAsia" w:hAnsiTheme="minorEastAsia" w:cstheme="minorEastAsia" w:hint="eastAsia"/>
                <w:bCs/>
                <w:sz w:val="21"/>
                <w:szCs w:val="21"/>
              </w:rPr>
              <w:t>答：高压级联储能系统相比集中式系统在效率上大约提升2%到3.5%。另外，高压级联系统对电池更友好，</w:t>
            </w:r>
            <w:r>
              <w:rPr>
                <w:rFonts w:asciiTheme="minorEastAsia" w:eastAsiaTheme="minorEastAsia" w:hAnsiTheme="minorEastAsia" w:cstheme="minorEastAsia" w:hint="eastAsia"/>
                <w:bCs/>
                <w:sz w:val="21"/>
                <w:szCs w:val="21"/>
                <w:lang w:val="en-US"/>
              </w:rPr>
              <w:t>解决</w:t>
            </w:r>
            <w:r>
              <w:rPr>
                <w:rFonts w:asciiTheme="minorEastAsia" w:eastAsiaTheme="minorEastAsia" w:hAnsiTheme="minorEastAsia" w:cstheme="minorEastAsia" w:hint="eastAsia"/>
                <w:bCs/>
                <w:sz w:val="21"/>
                <w:szCs w:val="21"/>
              </w:rPr>
              <w:t>电池的热失控</w:t>
            </w:r>
            <w:r>
              <w:rPr>
                <w:rFonts w:asciiTheme="minorEastAsia" w:eastAsiaTheme="minorEastAsia" w:hAnsiTheme="minorEastAsia" w:cstheme="minorEastAsia" w:hint="eastAsia"/>
                <w:bCs/>
                <w:sz w:val="21"/>
                <w:szCs w:val="21"/>
                <w:lang w:val="en-US"/>
              </w:rPr>
              <w:t>问题，</w:t>
            </w:r>
            <w:r>
              <w:rPr>
                <w:rFonts w:asciiTheme="minorEastAsia" w:eastAsiaTheme="minorEastAsia" w:hAnsiTheme="minorEastAsia" w:cstheme="minorEastAsia" w:hint="eastAsia"/>
                <w:bCs/>
                <w:sz w:val="21"/>
                <w:szCs w:val="21"/>
              </w:rPr>
              <w:t>具有更高的安全性，且占地面积较小，建设成本也更低。</w:t>
            </w:r>
          </w:p>
          <w:p w14:paraId="150D954A" w14:textId="77777777" w:rsidR="00C5026B" w:rsidRDefault="00C5026B">
            <w:pPr>
              <w:spacing w:line="360" w:lineRule="auto"/>
              <w:jc w:val="both"/>
              <w:rPr>
                <w:rFonts w:asciiTheme="minorEastAsia" w:eastAsiaTheme="minorEastAsia" w:hAnsiTheme="minorEastAsia" w:cstheme="minorEastAsia" w:hint="eastAsia"/>
                <w:bCs/>
                <w:sz w:val="21"/>
                <w:szCs w:val="21"/>
              </w:rPr>
            </w:pPr>
          </w:p>
          <w:p w14:paraId="0D35E7F6" w14:textId="77777777" w:rsidR="00C5026B" w:rsidRDefault="00000000">
            <w:pPr>
              <w:spacing w:line="360" w:lineRule="auto"/>
              <w:ind w:firstLineChars="200" w:firstLine="422"/>
              <w:jc w:val="both"/>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
                <w:sz w:val="21"/>
                <w:szCs w:val="21"/>
                <w:lang w:val="en-US"/>
              </w:rPr>
              <w:t>问题6</w:t>
            </w:r>
            <w:r>
              <w:rPr>
                <w:rFonts w:asciiTheme="minorEastAsia" w:eastAsiaTheme="minorEastAsia" w:hAnsiTheme="minorEastAsia" w:cstheme="minorEastAsia" w:hint="eastAsia"/>
                <w:b/>
                <w:sz w:val="21"/>
                <w:szCs w:val="21"/>
              </w:rPr>
              <w:t>：请问</w:t>
            </w:r>
            <w:r>
              <w:rPr>
                <w:rFonts w:asciiTheme="minorEastAsia" w:eastAsiaTheme="minorEastAsia" w:hAnsiTheme="minorEastAsia" w:cstheme="minorEastAsia" w:hint="eastAsia"/>
                <w:b/>
                <w:sz w:val="21"/>
                <w:szCs w:val="21"/>
                <w:lang w:val="en-US"/>
              </w:rPr>
              <w:t>公司目前</w:t>
            </w:r>
            <w:r>
              <w:rPr>
                <w:rFonts w:asciiTheme="minorEastAsia" w:eastAsiaTheme="minorEastAsia" w:hAnsiTheme="minorEastAsia" w:cstheme="minorEastAsia" w:hint="eastAsia"/>
                <w:b/>
                <w:sz w:val="21"/>
                <w:szCs w:val="21"/>
              </w:rPr>
              <w:t>出海的布局情况如何？</w:t>
            </w:r>
          </w:p>
          <w:p w14:paraId="5481D2FE" w14:textId="77777777" w:rsidR="00C5026B" w:rsidRDefault="00000000">
            <w:pPr>
              <w:spacing w:line="360" w:lineRule="auto"/>
              <w:ind w:firstLineChars="200" w:firstLine="420"/>
              <w:jc w:val="both"/>
              <w:rPr>
                <w:rFonts w:asciiTheme="minorEastAsia" w:eastAsiaTheme="minorEastAsia" w:hAnsiTheme="minorEastAsia" w:cstheme="minorEastAsia" w:hint="eastAsia"/>
                <w:bCs/>
                <w:sz w:val="21"/>
                <w:szCs w:val="21"/>
              </w:rPr>
            </w:pPr>
            <w:r>
              <w:rPr>
                <w:rFonts w:asciiTheme="minorEastAsia" w:eastAsiaTheme="minorEastAsia" w:hAnsiTheme="minorEastAsia" w:cstheme="minorEastAsia" w:hint="eastAsia"/>
                <w:bCs/>
                <w:sz w:val="21"/>
                <w:szCs w:val="21"/>
              </w:rPr>
              <w:t>答：2025年，</w:t>
            </w:r>
            <w:r>
              <w:rPr>
                <w:rFonts w:asciiTheme="minorEastAsia" w:eastAsiaTheme="minorEastAsia" w:hAnsiTheme="minorEastAsia" w:cstheme="minorEastAsia" w:hint="eastAsia"/>
                <w:bCs/>
                <w:sz w:val="21"/>
                <w:szCs w:val="21"/>
                <w:lang w:val="en-US"/>
              </w:rPr>
              <w:t>公司积极布局海外市场，</w:t>
            </w:r>
            <w:r>
              <w:rPr>
                <w:rFonts w:asciiTheme="minorEastAsia" w:eastAsiaTheme="minorEastAsia" w:hAnsiTheme="minorEastAsia" w:cstheme="minorEastAsia" w:hint="eastAsia"/>
                <w:bCs/>
                <w:sz w:val="21"/>
                <w:szCs w:val="21"/>
              </w:rPr>
              <w:t>一方面通过</w:t>
            </w:r>
            <w:r>
              <w:rPr>
                <w:rFonts w:asciiTheme="minorEastAsia" w:eastAsiaTheme="minorEastAsia" w:hAnsiTheme="minorEastAsia" w:cstheme="minorEastAsia" w:hint="eastAsia"/>
                <w:bCs/>
                <w:sz w:val="21"/>
                <w:szCs w:val="21"/>
                <w:lang w:val="en-US"/>
              </w:rPr>
              <w:t>原有</w:t>
            </w:r>
            <w:r>
              <w:rPr>
                <w:rFonts w:asciiTheme="minorEastAsia" w:eastAsiaTheme="minorEastAsia" w:hAnsiTheme="minorEastAsia" w:cstheme="minorEastAsia" w:hint="eastAsia"/>
                <w:bCs/>
                <w:sz w:val="21"/>
                <w:szCs w:val="21"/>
              </w:rPr>
              <w:t>代理商扩大规模，另一方面</w:t>
            </w:r>
            <w:r>
              <w:rPr>
                <w:rFonts w:asciiTheme="minorEastAsia" w:eastAsiaTheme="minorEastAsia" w:hAnsiTheme="minorEastAsia" w:cstheme="minorEastAsia" w:hint="eastAsia"/>
                <w:bCs/>
                <w:sz w:val="21"/>
                <w:szCs w:val="21"/>
                <w:lang w:val="en-US"/>
              </w:rPr>
              <w:t>公司积极走出去，参加国外展会，</w:t>
            </w:r>
            <w:r>
              <w:rPr>
                <w:rFonts w:asciiTheme="minorEastAsia" w:eastAsiaTheme="minorEastAsia" w:hAnsiTheme="minorEastAsia" w:cstheme="minorEastAsia" w:hint="eastAsia"/>
                <w:bCs/>
                <w:sz w:val="21"/>
                <w:szCs w:val="21"/>
              </w:rPr>
              <w:t>发展国外代理，签约</w:t>
            </w:r>
            <w:r>
              <w:rPr>
                <w:rFonts w:asciiTheme="minorEastAsia" w:eastAsiaTheme="minorEastAsia" w:hAnsiTheme="minorEastAsia" w:cstheme="minorEastAsia" w:hint="eastAsia"/>
                <w:bCs/>
                <w:sz w:val="21"/>
                <w:szCs w:val="21"/>
                <w:lang w:val="en-US"/>
              </w:rPr>
              <w:t>国外</w:t>
            </w:r>
            <w:r>
              <w:rPr>
                <w:rFonts w:asciiTheme="minorEastAsia" w:eastAsiaTheme="minorEastAsia" w:hAnsiTheme="minorEastAsia" w:cstheme="minorEastAsia" w:hint="eastAsia"/>
                <w:bCs/>
                <w:sz w:val="21"/>
                <w:szCs w:val="21"/>
              </w:rPr>
              <w:t>优质代理商，</w:t>
            </w:r>
            <w:r>
              <w:rPr>
                <w:rFonts w:asciiTheme="minorEastAsia" w:eastAsiaTheme="minorEastAsia" w:hAnsiTheme="minorEastAsia" w:cstheme="minorEastAsia" w:hint="eastAsia"/>
                <w:bCs/>
                <w:sz w:val="21"/>
                <w:szCs w:val="21"/>
                <w:lang w:val="en-US"/>
              </w:rPr>
              <w:t>在海外推广新风光品牌。</w:t>
            </w:r>
            <w:r>
              <w:rPr>
                <w:rFonts w:asciiTheme="minorEastAsia" w:eastAsiaTheme="minorEastAsia" w:hAnsiTheme="minorEastAsia" w:cstheme="minorEastAsia" w:hint="eastAsia"/>
                <w:bCs/>
                <w:sz w:val="21"/>
                <w:szCs w:val="21"/>
              </w:rPr>
              <w:t>目前</w:t>
            </w:r>
            <w:r>
              <w:rPr>
                <w:rFonts w:asciiTheme="minorEastAsia" w:eastAsiaTheme="minorEastAsia" w:hAnsiTheme="minorEastAsia" w:cstheme="minorEastAsia" w:hint="eastAsia"/>
                <w:bCs/>
                <w:sz w:val="21"/>
                <w:szCs w:val="21"/>
                <w:lang w:val="en-US"/>
              </w:rPr>
              <w:t>海外市场的</w:t>
            </w:r>
            <w:r>
              <w:rPr>
                <w:rFonts w:asciiTheme="minorEastAsia" w:eastAsiaTheme="minorEastAsia" w:hAnsiTheme="minorEastAsia" w:cstheme="minorEastAsia" w:hint="eastAsia"/>
                <w:bCs/>
                <w:sz w:val="21"/>
                <w:szCs w:val="21"/>
              </w:rPr>
              <w:t>进展达到预期。</w:t>
            </w:r>
          </w:p>
          <w:p w14:paraId="652F3173" w14:textId="77777777" w:rsidR="00C5026B" w:rsidRDefault="00C5026B">
            <w:pPr>
              <w:spacing w:line="360" w:lineRule="auto"/>
              <w:jc w:val="both"/>
              <w:rPr>
                <w:rFonts w:asciiTheme="minorEastAsia" w:eastAsiaTheme="minorEastAsia" w:hAnsiTheme="minorEastAsia" w:cstheme="minorEastAsia" w:hint="eastAsia"/>
                <w:bCs/>
                <w:sz w:val="21"/>
                <w:szCs w:val="21"/>
              </w:rPr>
            </w:pPr>
          </w:p>
          <w:p w14:paraId="751BD6B2" w14:textId="77777777" w:rsidR="00C5026B" w:rsidRDefault="00000000">
            <w:pPr>
              <w:spacing w:line="360" w:lineRule="auto"/>
              <w:ind w:firstLineChars="200" w:firstLine="422"/>
              <w:jc w:val="both"/>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
                <w:sz w:val="21"/>
                <w:szCs w:val="21"/>
                <w:lang w:val="en-US"/>
              </w:rPr>
              <w:lastRenderedPageBreak/>
              <w:t>问题7</w:t>
            </w:r>
            <w:r>
              <w:rPr>
                <w:rFonts w:asciiTheme="minorEastAsia" w:eastAsiaTheme="minorEastAsia" w:hAnsiTheme="minorEastAsia" w:cstheme="minorEastAsia" w:hint="eastAsia"/>
                <w:b/>
                <w:sz w:val="21"/>
                <w:szCs w:val="21"/>
              </w:rPr>
              <w:t>：请问公司今年有哪些新产品推出？</w:t>
            </w:r>
          </w:p>
          <w:p w14:paraId="7DD3B8F9" w14:textId="2B499C07" w:rsidR="00C5026B" w:rsidRDefault="00000000">
            <w:pPr>
              <w:spacing w:line="360" w:lineRule="auto"/>
              <w:ind w:firstLineChars="200" w:firstLine="420"/>
              <w:jc w:val="both"/>
              <w:rPr>
                <w:rFonts w:asciiTheme="minorEastAsia" w:eastAsiaTheme="minorEastAsia" w:hAnsiTheme="minorEastAsia" w:cstheme="minorEastAsia" w:hint="eastAsia"/>
                <w:bCs/>
                <w:sz w:val="21"/>
                <w:szCs w:val="21"/>
              </w:rPr>
            </w:pPr>
            <w:r>
              <w:rPr>
                <w:rFonts w:asciiTheme="minorEastAsia" w:eastAsiaTheme="minorEastAsia" w:hAnsiTheme="minorEastAsia" w:cstheme="minorEastAsia" w:hint="eastAsia"/>
                <w:bCs/>
                <w:sz w:val="21"/>
                <w:szCs w:val="21"/>
              </w:rPr>
              <w:t>答：一是静止同步调相机（SSC），在未来的电网里面属于刚需产品，</w:t>
            </w:r>
            <w:r>
              <w:rPr>
                <w:rFonts w:asciiTheme="minorEastAsia" w:eastAsiaTheme="minorEastAsia" w:hAnsiTheme="minorEastAsia" w:cstheme="minorEastAsia" w:hint="eastAsia"/>
                <w:bCs/>
                <w:sz w:val="21"/>
                <w:szCs w:val="21"/>
                <w:lang w:val="en-US"/>
              </w:rPr>
              <w:t>它可以</w:t>
            </w:r>
            <w:r>
              <w:rPr>
                <w:rFonts w:asciiTheme="minorEastAsia" w:eastAsiaTheme="minorEastAsia" w:hAnsiTheme="minorEastAsia" w:cstheme="minorEastAsia" w:hint="eastAsia"/>
                <w:bCs/>
                <w:sz w:val="21"/>
                <w:szCs w:val="21"/>
              </w:rPr>
              <w:t>代替传统的调相机（SC），</w:t>
            </w:r>
            <w:r>
              <w:rPr>
                <w:rFonts w:asciiTheme="minorEastAsia" w:eastAsiaTheme="minorEastAsia" w:hAnsiTheme="minorEastAsia" w:cstheme="minorEastAsia" w:hint="eastAsia"/>
                <w:bCs/>
                <w:sz w:val="21"/>
                <w:szCs w:val="21"/>
                <w:lang w:val="en-US"/>
              </w:rPr>
              <w:t>解决</w:t>
            </w:r>
            <w:r>
              <w:rPr>
                <w:rFonts w:asciiTheme="minorEastAsia" w:eastAsiaTheme="minorEastAsia" w:hAnsiTheme="minorEastAsia" w:cstheme="minorEastAsia" w:hint="eastAsia"/>
                <w:bCs/>
                <w:sz w:val="21"/>
                <w:szCs w:val="21"/>
              </w:rPr>
              <w:t>SC</w:t>
            </w:r>
            <w:r>
              <w:rPr>
                <w:rFonts w:asciiTheme="minorEastAsia" w:eastAsiaTheme="minorEastAsia" w:hAnsiTheme="minorEastAsia" w:cstheme="minorEastAsia" w:hint="eastAsia"/>
                <w:bCs/>
                <w:sz w:val="21"/>
                <w:szCs w:val="21"/>
                <w:lang w:val="en-US"/>
              </w:rPr>
              <w:t>产品运维复杂、成本高、功率损耗等难题</w:t>
            </w:r>
            <w:r>
              <w:rPr>
                <w:rFonts w:asciiTheme="minorEastAsia" w:eastAsiaTheme="minorEastAsia" w:hAnsiTheme="minorEastAsia" w:cstheme="minorEastAsia" w:hint="eastAsia"/>
                <w:bCs/>
                <w:sz w:val="21"/>
                <w:szCs w:val="21"/>
              </w:rPr>
              <w:t>，SSC替代SC是一个发展趋势。随着高比例大容量新能源接入带来的电网不稳定性，电网对静止同步调相机的需求逐渐会变成刚需，特别是在西部等新能源渗透率比较高的区域。随着超级电容的降价，应用场景会越来越多。目前</w:t>
            </w:r>
            <w:r>
              <w:rPr>
                <w:rFonts w:asciiTheme="minorEastAsia" w:eastAsiaTheme="minorEastAsia" w:hAnsiTheme="minorEastAsia" w:cstheme="minorEastAsia" w:hint="eastAsia"/>
                <w:bCs/>
                <w:sz w:val="21"/>
                <w:szCs w:val="21"/>
                <w:lang w:val="en-US"/>
              </w:rPr>
              <w:t>该产品</w:t>
            </w:r>
            <w:r>
              <w:rPr>
                <w:rFonts w:asciiTheme="minorEastAsia" w:eastAsiaTheme="minorEastAsia" w:hAnsiTheme="minorEastAsia" w:cstheme="minorEastAsia" w:hint="eastAsia"/>
                <w:bCs/>
                <w:sz w:val="21"/>
                <w:szCs w:val="21"/>
              </w:rPr>
              <w:t>的</w:t>
            </w:r>
            <w:r>
              <w:rPr>
                <w:rFonts w:asciiTheme="minorEastAsia" w:eastAsiaTheme="minorEastAsia" w:hAnsiTheme="minorEastAsia" w:cstheme="minorEastAsia" w:hint="eastAsia"/>
                <w:bCs/>
                <w:sz w:val="21"/>
                <w:szCs w:val="21"/>
                <w:lang w:val="en-US"/>
              </w:rPr>
              <w:t>生产</w:t>
            </w:r>
            <w:r>
              <w:rPr>
                <w:rFonts w:asciiTheme="minorEastAsia" w:eastAsiaTheme="minorEastAsia" w:hAnsiTheme="minorEastAsia" w:cstheme="minorEastAsia" w:hint="eastAsia"/>
                <w:bCs/>
                <w:sz w:val="21"/>
                <w:szCs w:val="21"/>
              </w:rPr>
              <w:t>厂家</w:t>
            </w:r>
            <w:r>
              <w:rPr>
                <w:rFonts w:asciiTheme="minorEastAsia" w:eastAsiaTheme="minorEastAsia" w:hAnsiTheme="minorEastAsia" w:cstheme="minorEastAsia" w:hint="eastAsia"/>
                <w:bCs/>
                <w:sz w:val="21"/>
                <w:szCs w:val="21"/>
                <w:lang w:val="en-US"/>
              </w:rPr>
              <w:t>比较少</w:t>
            </w:r>
            <w:r>
              <w:rPr>
                <w:rFonts w:asciiTheme="minorEastAsia" w:eastAsiaTheme="minorEastAsia" w:hAnsiTheme="minorEastAsia" w:cstheme="minorEastAsia" w:hint="eastAsia"/>
                <w:bCs/>
                <w:sz w:val="21"/>
                <w:szCs w:val="21"/>
              </w:rPr>
              <w:t>，</w:t>
            </w:r>
            <w:r>
              <w:rPr>
                <w:rFonts w:asciiTheme="minorEastAsia" w:eastAsiaTheme="minorEastAsia" w:hAnsiTheme="minorEastAsia" w:cstheme="minorEastAsia" w:hint="eastAsia"/>
                <w:bCs/>
                <w:sz w:val="21"/>
                <w:szCs w:val="21"/>
                <w:lang w:val="en-US"/>
              </w:rPr>
              <w:t>公司已取得实验报告。二是公司</w:t>
            </w:r>
            <w:r>
              <w:rPr>
                <w:rFonts w:asciiTheme="minorEastAsia" w:eastAsiaTheme="minorEastAsia" w:hAnsiTheme="minorEastAsia" w:cstheme="minorEastAsia" w:hint="eastAsia"/>
                <w:bCs/>
                <w:sz w:val="21"/>
                <w:szCs w:val="21"/>
              </w:rPr>
              <w:t>构网型储能和构网型SVG产品均已</w:t>
            </w:r>
            <w:r>
              <w:rPr>
                <w:rFonts w:asciiTheme="minorEastAsia" w:eastAsiaTheme="minorEastAsia" w:hAnsiTheme="minorEastAsia" w:cstheme="minorEastAsia" w:hint="eastAsia"/>
                <w:bCs/>
                <w:sz w:val="21"/>
                <w:szCs w:val="21"/>
                <w:lang w:val="en-US"/>
              </w:rPr>
              <w:t>取得</w:t>
            </w:r>
            <w:r>
              <w:rPr>
                <w:rFonts w:asciiTheme="minorEastAsia" w:eastAsiaTheme="minorEastAsia" w:hAnsiTheme="minorEastAsia" w:cstheme="minorEastAsia" w:hint="eastAsia"/>
                <w:bCs/>
                <w:sz w:val="21"/>
                <w:szCs w:val="21"/>
              </w:rPr>
              <w:t>实验报告，性能指标达到电网要求，目前</w:t>
            </w:r>
            <w:r>
              <w:rPr>
                <w:rFonts w:asciiTheme="minorEastAsia" w:eastAsiaTheme="minorEastAsia" w:hAnsiTheme="minorEastAsia" w:cstheme="minorEastAsia" w:hint="eastAsia"/>
                <w:bCs/>
                <w:sz w:val="21"/>
                <w:szCs w:val="21"/>
                <w:lang w:val="en-US"/>
              </w:rPr>
              <w:t>已在</w:t>
            </w:r>
            <w:r>
              <w:rPr>
                <w:rFonts w:asciiTheme="minorEastAsia" w:eastAsiaTheme="minorEastAsia" w:hAnsiTheme="minorEastAsia" w:cstheme="minorEastAsia" w:hint="eastAsia"/>
                <w:bCs/>
                <w:sz w:val="21"/>
                <w:szCs w:val="21"/>
              </w:rPr>
              <w:t>在布局相关的项目。</w:t>
            </w:r>
          </w:p>
          <w:p w14:paraId="13D9C98C" w14:textId="77777777" w:rsidR="00C5026B" w:rsidRDefault="00C5026B">
            <w:pPr>
              <w:spacing w:line="360" w:lineRule="auto"/>
              <w:jc w:val="both"/>
              <w:rPr>
                <w:rFonts w:asciiTheme="minorEastAsia" w:eastAsiaTheme="minorEastAsia" w:hAnsiTheme="minorEastAsia" w:cstheme="minorEastAsia" w:hint="eastAsia"/>
                <w:bCs/>
                <w:sz w:val="21"/>
                <w:szCs w:val="21"/>
              </w:rPr>
            </w:pPr>
          </w:p>
          <w:p w14:paraId="2517E331" w14:textId="77777777" w:rsidR="00C5026B" w:rsidRDefault="00000000">
            <w:pPr>
              <w:spacing w:line="360" w:lineRule="auto"/>
              <w:ind w:firstLineChars="200" w:firstLine="422"/>
              <w:jc w:val="both"/>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
                <w:sz w:val="21"/>
                <w:szCs w:val="21"/>
              </w:rPr>
              <w:t>问题8：请问数据中心未来的供电结构趋势是什么？公司是否考虑使用高压直流电源解决方案？是否会整合之前的技术并拓展整体电源解决方案？</w:t>
            </w:r>
          </w:p>
          <w:p w14:paraId="23FFE2F5" w14:textId="77777777" w:rsidR="00C5026B" w:rsidRDefault="00000000">
            <w:pPr>
              <w:spacing w:line="360" w:lineRule="auto"/>
              <w:ind w:firstLineChars="200" w:firstLine="420"/>
              <w:jc w:val="both"/>
              <w:rPr>
                <w:rFonts w:hint="eastAsia"/>
                <w:lang w:val="en-US"/>
              </w:rPr>
            </w:pPr>
            <w:r>
              <w:rPr>
                <w:rFonts w:asciiTheme="minorEastAsia" w:eastAsiaTheme="minorEastAsia" w:hAnsiTheme="minorEastAsia" w:cstheme="minorEastAsia" w:hint="eastAsia"/>
                <w:bCs/>
                <w:sz w:val="21"/>
                <w:szCs w:val="21"/>
              </w:rPr>
              <w:t>答：数据中心的供电结构趋势是向高压直流（HVDC）方向发展，公司正在探讨与合作伙伴共同开发高效、简单的产品，简化供电架构，满足AI算力需求快速提升带来的效率等指标进一步提升的迫切需求。</w:t>
            </w:r>
            <w:r>
              <w:rPr>
                <w:rFonts w:asciiTheme="minorEastAsia" w:eastAsiaTheme="minorEastAsia" w:hAnsiTheme="minorEastAsia" w:cstheme="minorEastAsia" w:hint="eastAsia"/>
                <w:bCs/>
                <w:sz w:val="21"/>
                <w:szCs w:val="21"/>
                <w:lang w:val="en-US"/>
              </w:rPr>
              <w:t>公司关注到</w:t>
            </w:r>
            <w:r>
              <w:rPr>
                <w:rFonts w:asciiTheme="minorEastAsia" w:eastAsiaTheme="minorEastAsia" w:hAnsiTheme="minorEastAsia" w:cstheme="minorEastAsia" w:hint="eastAsia"/>
                <w:bCs/>
                <w:sz w:val="21"/>
                <w:szCs w:val="21"/>
              </w:rPr>
              <w:t>数据中心供电需求，包括电能质量治理和供电结构改变，并积极与第三方合作探讨技术交流。</w:t>
            </w:r>
          </w:p>
        </w:tc>
      </w:tr>
      <w:tr w:rsidR="00C5026B" w14:paraId="703C590E" w14:textId="77777777">
        <w:trPr>
          <w:trHeight w:val="999"/>
          <w:jc w:val="center"/>
        </w:trPr>
        <w:tc>
          <w:tcPr>
            <w:tcW w:w="2580" w:type="dxa"/>
            <w:vAlign w:val="center"/>
          </w:tcPr>
          <w:p w14:paraId="689E957B" w14:textId="77777777" w:rsidR="00C5026B" w:rsidRDefault="00000000">
            <w:pPr>
              <w:pStyle w:val="TableParagraph"/>
              <w:spacing w:before="1"/>
              <w:ind w:left="107"/>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lastRenderedPageBreak/>
              <w:t>关于本次活动是否涉及应</w:t>
            </w:r>
          </w:p>
          <w:p w14:paraId="6131AC19" w14:textId="77777777" w:rsidR="00C5026B" w:rsidRDefault="00000000">
            <w:pPr>
              <w:pStyle w:val="TableParagraph"/>
              <w:spacing w:before="1"/>
              <w:ind w:left="107"/>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t>披露重大信息的说明</w:t>
            </w:r>
          </w:p>
        </w:tc>
        <w:tc>
          <w:tcPr>
            <w:tcW w:w="5945" w:type="dxa"/>
            <w:vAlign w:val="center"/>
          </w:tcPr>
          <w:p w14:paraId="55C44C54" w14:textId="77777777" w:rsidR="00C5026B" w:rsidRDefault="00000000">
            <w:pPr>
              <w:pStyle w:val="TableParagraph"/>
              <w:spacing w:before="100" w:beforeAutospacing="1" w:line="360" w:lineRule="auto"/>
              <w:rPr>
                <w:rFonts w:asciiTheme="minorEastAsia" w:eastAsiaTheme="minorEastAsia" w:hAnsiTheme="minorEastAsia" w:cs="宋体" w:hint="eastAsia"/>
                <w:sz w:val="21"/>
                <w:szCs w:val="21"/>
              </w:rPr>
            </w:pPr>
            <w:r>
              <w:rPr>
                <w:rFonts w:asciiTheme="minorEastAsia" w:eastAsiaTheme="minorEastAsia" w:hAnsiTheme="minorEastAsia" w:cs="宋体" w:hint="eastAsia"/>
                <w:sz w:val="21"/>
                <w:szCs w:val="21"/>
              </w:rPr>
              <w:t>本次活动不涉及未公开披露的重大信息。</w:t>
            </w:r>
          </w:p>
        </w:tc>
      </w:tr>
      <w:tr w:rsidR="00C5026B" w14:paraId="27273531" w14:textId="77777777">
        <w:trPr>
          <w:trHeight w:val="558"/>
          <w:jc w:val="center"/>
        </w:trPr>
        <w:tc>
          <w:tcPr>
            <w:tcW w:w="2580" w:type="dxa"/>
            <w:vAlign w:val="center"/>
          </w:tcPr>
          <w:p w14:paraId="486EFA9B" w14:textId="77777777" w:rsidR="00C5026B" w:rsidRDefault="00000000">
            <w:pPr>
              <w:pStyle w:val="TableParagraph"/>
              <w:spacing w:before="1"/>
              <w:ind w:left="107"/>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t>附件清单（如有）</w:t>
            </w:r>
          </w:p>
        </w:tc>
        <w:tc>
          <w:tcPr>
            <w:tcW w:w="5945" w:type="dxa"/>
            <w:vAlign w:val="center"/>
          </w:tcPr>
          <w:p w14:paraId="652AE6BE" w14:textId="77777777" w:rsidR="00C5026B" w:rsidRDefault="00C5026B">
            <w:pPr>
              <w:pStyle w:val="TableParagraph"/>
              <w:spacing w:before="100" w:beforeAutospacing="1" w:line="360" w:lineRule="auto"/>
              <w:rPr>
                <w:rFonts w:asciiTheme="minorEastAsia" w:eastAsiaTheme="minorEastAsia" w:hAnsiTheme="minorEastAsia" w:cs="宋体" w:hint="eastAsia"/>
                <w:sz w:val="21"/>
                <w:szCs w:val="21"/>
              </w:rPr>
            </w:pPr>
          </w:p>
        </w:tc>
      </w:tr>
      <w:tr w:rsidR="00C5026B" w14:paraId="1A941CB8" w14:textId="77777777">
        <w:trPr>
          <w:trHeight w:val="558"/>
          <w:jc w:val="center"/>
        </w:trPr>
        <w:tc>
          <w:tcPr>
            <w:tcW w:w="2580" w:type="dxa"/>
            <w:vAlign w:val="center"/>
          </w:tcPr>
          <w:p w14:paraId="0401242F" w14:textId="77777777" w:rsidR="00C5026B" w:rsidRDefault="00000000">
            <w:pPr>
              <w:pStyle w:val="TableParagraph"/>
              <w:spacing w:before="1"/>
              <w:ind w:left="107"/>
              <w:rPr>
                <w:rFonts w:asciiTheme="minorEastAsia" w:eastAsiaTheme="minorEastAsia" w:hAnsiTheme="minorEastAsia" w:cs="宋体" w:hint="eastAsia"/>
                <w:b/>
                <w:bCs/>
                <w:sz w:val="21"/>
                <w:szCs w:val="21"/>
              </w:rPr>
            </w:pPr>
            <w:r>
              <w:rPr>
                <w:rFonts w:asciiTheme="minorEastAsia" w:eastAsiaTheme="minorEastAsia" w:hAnsiTheme="minorEastAsia" w:cs="宋体" w:hint="eastAsia"/>
                <w:b/>
                <w:bCs/>
                <w:sz w:val="21"/>
                <w:szCs w:val="21"/>
              </w:rPr>
              <w:t>日期</w:t>
            </w:r>
          </w:p>
        </w:tc>
        <w:tc>
          <w:tcPr>
            <w:tcW w:w="5945" w:type="dxa"/>
            <w:vAlign w:val="center"/>
          </w:tcPr>
          <w:p w14:paraId="3628A824" w14:textId="77777777" w:rsidR="00C5026B" w:rsidRDefault="00000000">
            <w:pPr>
              <w:pStyle w:val="TableParagraph"/>
              <w:spacing w:before="100" w:beforeAutospacing="1"/>
              <w:rPr>
                <w:rFonts w:asciiTheme="minorEastAsia" w:eastAsiaTheme="minorEastAsia" w:hAnsiTheme="minorEastAsia" w:cs="宋体" w:hint="eastAsia"/>
                <w:sz w:val="21"/>
                <w:szCs w:val="21"/>
              </w:rPr>
            </w:pPr>
            <w:r>
              <w:rPr>
                <w:rFonts w:asciiTheme="minorEastAsia" w:eastAsiaTheme="minorEastAsia" w:hAnsiTheme="minorEastAsia" w:cs="宋体"/>
                <w:sz w:val="21"/>
                <w:szCs w:val="21"/>
              </w:rPr>
              <w:t>2025年04月10日</w:t>
            </w:r>
          </w:p>
        </w:tc>
      </w:tr>
    </w:tbl>
    <w:p w14:paraId="0B9ABA42" w14:textId="77777777" w:rsidR="00C5026B" w:rsidRDefault="00C5026B">
      <w:pPr>
        <w:rPr>
          <w:rFonts w:ascii="宋体" w:eastAsia="宋体" w:hAnsi="宋体" w:cs="宋体" w:hint="eastAsia"/>
          <w:sz w:val="28"/>
          <w:szCs w:val="36"/>
        </w:rPr>
      </w:pPr>
    </w:p>
    <w:sectPr w:rsidR="00C5026B">
      <w:type w:val="continuous"/>
      <w:pgSz w:w="11910" w:h="16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2E749" w14:textId="77777777" w:rsidR="00B1351F" w:rsidRDefault="00B1351F" w:rsidP="00295624">
      <w:pPr>
        <w:rPr>
          <w:rFonts w:hint="eastAsia"/>
        </w:rPr>
      </w:pPr>
      <w:r>
        <w:separator/>
      </w:r>
    </w:p>
  </w:endnote>
  <w:endnote w:type="continuationSeparator" w:id="0">
    <w:p w14:paraId="207AA7BC" w14:textId="77777777" w:rsidR="00B1351F" w:rsidRDefault="00B1351F" w:rsidP="0029562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default"/>
    <w:sig w:usb0="00000000" w:usb1="00000000"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4C847" w14:textId="77777777" w:rsidR="00B1351F" w:rsidRDefault="00B1351F" w:rsidP="00295624">
      <w:pPr>
        <w:rPr>
          <w:rFonts w:hint="eastAsia"/>
        </w:rPr>
      </w:pPr>
      <w:r>
        <w:separator/>
      </w:r>
    </w:p>
  </w:footnote>
  <w:footnote w:type="continuationSeparator" w:id="0">
    <w:p w14:paraId="0E2272A7" w14:textId="77777777" w:rsidR="00B1351F" w:rsidRDefault="00B1351F" w:rsidP="0029562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iY2JkMjU3NGYzZTEwMzZmMGFkZWViYmNkYWU3NDIifQ=="/>
  </w:docVars>
  <w:rsids>
    <w:rsidRoot w:val="00301D32"/>
    <w:rsid w:val="00026CC3"/>
    <w:rsid w:val="00036089"/>
    <w:rsid w:val="00053CFA"/>
    <w:rsid w:val="000633EC"/>
    <w:rsid w:val="00063804"/>
    <w:rsid w:val="000665A2"/>
    <w:rsid w:val="000877AB"/>
    <w:rsid w:val="000B7C08"/>
    <w:rsid w:val="000D12CF"/>
    <w:rsid w:val="000D2D88"/>
    <w:rsid w:val="000E1347"/>
    <w:rsid w:val="000E4B20"/>
    <w:rsid w:val="0011418F"/>
    <w:rsid w:val="00172C24"/>
    <w:rsid w:val="0019701E"/>
    <w:rsid w:val="001E59D1"/>
    <w:rsid w:val="001E5EA4"/>
    <w:rsid w:val="002042A7"/>
    <w:rsid w:val="00205911"/>
    <w:rsid w:val="002146AD"/>
    <w:rsid w:val="00275CB6"/>
    <w:rsid w:val="002800B5"/>
    <w:rsid w:val="00295624"/>
    <w:rsid w:val="00295B29"/>
    <w:rsid w:val="002D4073"/>
    <w:rsid w:val="002E7098"/>
    <w:rsid w:val="00301D32"/>
    <w:rsid w:val="00305360"/>
    <w:rsid w:val="00366FAD"/>
    <w:rsid w:val="0037105B"/>
    <w:rsid w:val="003975BA"/>
    <w:rsid w:val="003A74E6"/>
    <w:rsid w:val="003B419D"/>
    <w:rsid w:val="003B73DD"/>
    <w:rsid w:val="003D011C"/>
    <w:rsid w:val="004108C7"/>
    <w:rsid w:val="00412DC2"/>
    <w:rsid w:val="00440041"/>
    <w:rsid w:val="00451268"/>
    <w:rsid w:val="004515AD"/>
    <w:rsid w:val="00451857"/>
    <w:rsid w:val="00453516"/>
    <w:rsid w:val="00457548"/>
    <w:rsid w:val="00470DB2"/>
    <w:rsid w:val="004925E7"/>
    <w:rsid w:val="00495B11"/>
    <w:rsid w:val="004F6FF3"/>
    <w:rsid w:val="005002CA"/>
    <w:rsid w:val="00571B49"/>
    <w:rsid w:val="005743AE"/>
    <w:rsid w:val="005D64CA"/>
    <w:rsid w:val="005E5717"/>
    <w:rsid w:val="005E6DB2"/>
    <w:rsid w:val="0061433E"/>
    <w:rsid w:val="0062751D"/>
    <w:rsid w:val="006354AA"/>
    <w:rsid w:val="00661AFA"/>
    <w:rsid w:val="006726BF"/>
    <w:rsid w:val="00677B77"/>
    <w:rsid w:val="0068718A"/>
    <w:rsid w:val="006A2739"/>
    <w:rsid w:val="006B5C95"/>
    <w:rsid w:val="006E14B0"/>
    <w:rsid w:val="006F0108"/>
    <w:rsid w:val="00704AE6"/>
    <w:rsid w:val="007153A2"/>
    <w:rsid w:val="00724A68"/>
    <w:rsid w:val="007271BF"/>
    <w:rsid w:val="00730DD3"/>
    <w:rsid w:val="00733224"/>
    <w:rsid w:val="00764128"/>
    <w:rsid w:val="007824B8"/>
    <w:rsid w:val="007910DD"/>
    <w:rsid w:val="007A3EC1"/>
    <w:rsid w:val="007B3368"/>
    <w:rsid w:val="007D0A69"/>
    <w:rsid w:val="007D6DC4"/>
    <w:rsid w:val="00805114"/>
    <w:rsid w:val="00847191"/>
    <w:rsid w:val="00853463"/>
    <w:rsid w:val="00893F25"/>
    <w:rsid w:val="00895035"/>
    <w:rsid w:val="008B2B14"/>
    <w:rsid w:val="008C6AED"/>
    <w:rsid w:val="008C7604"/>
    <w:rsid w:val="008E1B27"/>
    <w:rsid w:val="00903379"/>
    <w:rsid w:val="00906975"/>
    <w:rsid w:val="00917F0B"/>
    <w:rsid w:val="00917F8B"/>
    <w:rsid w:val="00960964"/>
    <w:rsid w:val="00965E4D"/>
    <w:rsid w:val="009B1D5C"/>
    <w:rsid w:val="009C2E31"/>
    <w:rsid w:val="009E1955"/>
    <w:rsid w:val="009F083F"/>
    <w:rsid w:val="00A12438"/>
    <w:rsid w:val="00A26507"/>
    <w:rsid w:val="00A527AA"/>
    <w:rsid w:val="00A5684D"/>
    <w:rsid w:val="00A75C61"/>
    <w:rsid w:val="00A9601B"/>
    <w:rsid w:val="00AD100E"/>
    <w:rsid w:val="00AE1E36"/>
    <w:rsid w:val="00AF74AA"/>
    <w:rsid w:val="00B03C2F"/>
    <w:rsid w:val="00B1351F"/>
    <w:rsid w:val="00B15064"/>
    <w:rsid w:val="00B340A3"/>
    <w:rsid w:val="00B410F5"/>
    <w:rsid w:val="00B602FC"/>
    <w:rsid w:val="00B6280C"/>
    <w:rsid w:val="00B671A4"/>
    <w:rsid w:val="00B72CD4"/>
    <w:rsid w:val="00B85B00"/>
    <w:rsid w:val="00BE37BE"/>
    <w:rsid w:val="00BF132F"/>
    <w:rsid w:val="00C13878"/>
    <w:rsid w:val="00C5026B"/>
    <w:rsid w:val="00CA1705"/>
    <w:rsid w:val="00CD3D37"/>
    <w:rsid w:val="00CE1A54"/>
    <w:rsid w:val="00CF5FB6"/>
    <w:rsid w:val="00D02518"/>
    <w:rsid w:val="00D17454"/>
    <w:rsid w:val="00D33FBC"/>
    <w:rsid w:val="00D66FA8"/>
    <w:rsid w:val="00D7535C"/>
    <w:rsid w:val="00D76302"/>
    <w:rsid w:val="00DA5CE2"/>
    <w:rsid w:val="00DB5BA2"/>
    <w:rsid w:val="00DE10E8"/>
    <w:rsid w:val="00E11C52"/>
    <w:rsid w:val="00E16FDA"/>
    <w:rsid w:val="00E35F58"/>
    <w:rsid w:val="00E45BD9"/>
    <w:rsid w:val="00E66FFC"/>
    <w:rsid w:val="00E759D6"/>
    <w:rsid w:val="00E84A8C"/>
    <w:rsid w:val="00E976DE"/>
    <w:rsid w:val="00EC0F83"/>
    <w:rsid w:val="00EE3187"/>
    <w:rsid w:val="00EF499B"/>
    <w:rsid w:val="00F14977"/>
    <w:rsid w:val="00FB4A08"/>
    <w:rsid w:val="00FC0C2A"/>
    <w:rsid w:val="00FD7F8E"/>
    <w:rsid w:val="00FF11E4"/>
    <w:rsid w:val="02704AC1"/>
    <w:rsid w:val="04B072D4"/>
    <w:rsid w:val="059611B2"/>
    <w:rsid w:val="05F575D4"/>
    <w:rsid w:val="064249C6"/>
    <w:rsid w:val="08641132"/>
    <w:rsid w:val="090C4E18"/>
    <w:rsid w:val="09186774"/>
    <w:rsid w:val="0945438F"/>
    <w:rsid w:val="0A71587A"/>
    <w:rsid w:val="0B792C38"/>
    <w:rsid w:val="0C28640C"/>
    <w:rsid w:val="0DF742E8"/>
    <w:rsid w:val="0E90599A"/>
    <w:rsid w:val="0ED720CD"/>
    <w:rsid w:val="103905FC"/>
    <w:rsid w:val="11F272A1"/>
    <w:rsid w:val="12070CAE"/>
    <w:rsid w:val="145F688C"/>
    <w:rsid w:val="14D47131"/>
    <w:rsid w:val="15680001"/>
    <w:rsid w:val="15690A3A"/>
    <w:rsid w:val="15DD2205"/>
    <w:rsid w:val="17072842"/>
    <w:rsid w:val="17A67110"/>
    <w:rsid w:val="17F35B20"/>
    <w:rsid w:val="1864189B"/>
    <w:rsid w:val="18D73A7D"/>
    <w:rsid w:val="19557370"/>
    <w:rsid w:val="1A045DC3"/>
    <w:rsid w:val="1BD06B6A"/>
    <w:rsid w:val="1CBC4268"/>
    <w:rsid w:val="1F782BDE"/>
    <w:rsid w:val="204A6A53"/>
    <w:rsid w:val="22D60519"/>
    <w:rsid w:val="23317869"/>
    <w:rsid w:val="25650CAE"/>
    <w:rsid w:val="25665B84"/>
    <w:rsid w:val="25E90563"/>
    <w:rsid w:val="26406598"/>
    <w:rsid w:val="28080056"/>
    <w:rsid w:val="28734C1A"/>
    <w:rsid w:val="28C72DDD"/>
    <w:rsid w:val="29EE0E64"/>
    <w:rsid w:val="2BB533C1"/>
    <w:rsid w:val="2BC4020A"/>
    <w:rsid w:val="2EF90F16"/>
    <w:rsid w:val="2F125C63"/>
    <w:rsid w:val="2FF4555E"/>
    <w:rsid w:val="302C3D0A"/>
    <w:rsid w:val="3104598F"/>
    <w:rsid w:val="31666F0B"/>
    <w:rsid w:val="33DE31BB"/>
    <w:rsid w:val="33E02FA5"/>
    <w:rsid w:val="34645984"/>
    <w:rsid w:val="34E70363"/>
    <w:rsid w:val="36730100"/>
    <w:rsid w:val="389C49C0"/>
    <w:rsid w:val="39A16D33"/>
    <w:rsid w:val="39BC78F4"/>
    <w:rsid w:val="3B35486F"/>
    <w:rsid w:val="3EF1250A"/>
    <w:rsid w:val="3F43263A"/>
    <w:rsid w:val="40567DB0"/>
    <w:rsid w:val="40FF5CD2"/>
    <w:rsid w:val="42DB40B0"/>
    <w:rsid w:val="43B71B0A"/>
    <w:rsid w:val="44FA0589"/>
    <w:rsid w:val="45A663E3"/>
    <w:rsid w:val="469F09AF"/>
    <w:rsid w:val="46F012F9"/>
    <w:rsid w:val="47EF6BC5"/>
    <w:rsid w:val="4B4E2A92"/>
    <w:rsid w:val="4B756271"/>
    <w:rsid w:val="4C8E1CA8"/>
    <w:rsid w:val="4D037251"/>
    <w:rsid w:val="4D6D36A4"/>
    <w:rsid w:val="510903EF"/>
    <w:rsid w:val="517E2A68"/>
    <w:rsid w:val="52E37F64"/>
    <w:rsid w:val="53F137F4"/>
    <w:rsid w:val="543A6906"/>
    <w:rsid w:val="544E765F"/>
    <w:rsid w:val="565A053D"/>
    <w:rsid w:val="56850CBB"/>
    <w:rsid w:val="56A619D5"/>
    <w:rsid w:val="59D8738A"/>
    <w:rsid w:val="5A666D76"/>
    <w:rsid w:val="5B2253C2"/>
    <w:rsid w:val="5C4C6B7A"/>
    <w:rsid w:val="5CF02E0F"/>
    <w:rsid w:val="5FE940D9"/>
    <w:rsid w:val="603269D2"/>
    <w:rsid w:val="61A52BCA"/>
    <w:rsid w:val="62817068"/>
    <w:rsid w:val="6707201B"/>
    <w:rsid w:val="67095496"/>
    <w:rsid w:val="67ED7463"/>
    <w:rsid w:val="681A546A"/>
    <w:rsid w:val="68507D37"/>
    <w:rsid w:val="69CB37D4"/>
    <w:rsid w:val="6A0D5B9B"/>
    <w:rsid w:val="6A3B23B1"/>
    <w:rsid w:val="6AEA32DC"/>
    <w:rsid w:val="6CC24AB5"/>
    <w:rsid w:val="6D9271B2"/>
    <w:rsid w:val="6F134790"/>
    <w:rsid w:val="6FE81F5F"/>
    <w:rsid w:val="72446028"/>
    <w:rsid w:val="72537D3F"/>
    <w:rsid w:val="73076EC0"/>
    <w:rsid w:val="73242C9C"/>
    <w:rsid w:val="74210CA6"/>
    <w:rsid w:val="74387CB8"/>
    <w:rsid w:val="746F4E76"/>
    <w:rsid w:val="76430096"/>
    <w:rsid w:val="788C25F5"/>
    <w:rsid w:val="79033C37"/>
    <w:rsid w:val="79F72AA9"/>
    <w:rsid w:val="7A144529"/>
    <w:rsid w:val="7DD37FAE"/>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45164E"/>
  <w15:docId w15:val="{FCC5FA16-8310-40EA-B3E7-5DE772830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仿宋" w:eastAsia="仿宋" w:hAnsi="仿宋" w:cs="仿宋"/>
      <w:sz w:val="22"/>
      <w:szCs w:val="22"/>
      <w:lang w:val="zh-CN" w:bidi="zh-CN"/>
    </w:rPr>
  </w:style>
  <w:style w:type="paragraph" w:styleId="1">
    <w:name w:val="heading 1"/>
    <w:basedOn w:val="a"/>
    <w:next w:val="a"/>
    <w:uiPriority w:val="1"/>
    <w:qFormat/>
    <w:pPr>
      <w:outlineLvl w:val="0"/>
    </w:pPr>
    <w:rPr>
      <w:rFonts w:ascii="PMingLiU" w:eastAsia="PMingLiU" w:hAnsi="PMingLiU" w:cs="PMingLiU"/>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Body Text"/>
    <w:basedOn w:val="a"/>
    <w:uiPriority w:val="1"/>
    <w:qFormat/>
    <w:pPr>
      <w:ind w:left="220"/>
    </w:pPr>
    <w:rPr>
      <w:sz w:val="32"/>
      <w:szCs w:val="32"/>
    </w:rPr>
  </w:style>
  <w:style w:type="paragraph" w:styleId="a6">
    <w:name w:val="Balloon Text"/>
    <w:basedOn w:val="a"/>
    <w:link w:val="a7"/>
    <w:qFormat/>
    <w:rPr>
      <w:sz w:val="18"/>
      <w:szCs w:val="18"/>
    </w:rPr>
  </w:style>
  <w:style w:type="paragraph" w:styleId="a8">
    <w:name w:val="footer"/>
    <w:basedOn w:val="a"/>
    <w:link w:val="a9"/>
    <w:qFormat/>
    <w:pPr>
      <w:tabs>
        <w:tab w:val="center" w:pos="4153"/>
        <w:tab w:val="right" w:pos="8306"/>
      </w:tabs>
      <w:snapToGrid w:val="0"/>
    </w:pPr>
    <w:rPr>
      <w:sz w:val="18"/>
      <w:szCs w:val="18"/>
    </w:rPr>
  </w:style>
  <w:style w:type="paragraph" w:styleId="aa">
    <w:name w:val="header"/>
    <w:basedOn w:val="a"/>
    <w:link w:val="ab"/>
    <w:qFormat/>
    <w:pPr>
      <w:pBdr>
        <w:bottom w:val="single" w:sz="6" w:space="1" w:color="auto"/>
      </w:pBdr>
      <w:tabs>
        <w:tab w:val="center" w:pos="4153"/>
        <w:tab w:val="right" w:pos="8306"/>
      </w:tabs>
      <w:snapToGrid w:val="0"/>
      <w:jc w:val="center"/>
    </w:pPr>
    <w:rPr>
      <w:sz w:val="18"/>
      <w:szCs w:val="18"/>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paragraph" w:customStyle="1" w:styleId="TableParagraph">
    <w:name w:val="Table Paragraph"/>
    <w:basedOn w:val="a"/>
    <w:uiPriority w:val="1"/>
    <w:qFormat/>
  </w:style>
  <w:style w:type="character" w:customStyle="1" w:styleId="ab">
    <w:name w:val="页眉 字符"/>
    <w:basedOn w:val="a0"/>
    <w:link w:val="aa"/>
    <w:qFormat/>
    <w:rPr>
      <w:rFonts w:ascii="仿宋" w:eastAsia="仿宋" w:hAnsi="仿宋" w:cs="仿宋"/>
      <w:sz w:val="18"/>
      <w:szCs w:val="18"/>
      <w:lang w:val="zh-CN" w:bidi="zh-CN"/>
    </w:rPr>
  </w:style>
  <w:style w:type="character" w:customStyle="1" w:styleId="a9">
    <w:name w:val="页脚 字符"/>
    <w:basedOn w:val="a0"/>
    <w:link w:val="a8"/>
    <w:qFormat/>
    <w:rPr>
      <w:rFonts w:ascii="仿宋" w:eastAsia="仿宋" w:hAnsi="仿宋" w:cs="仿宋"/>
      <w:sz w:val="18"/>
      <w:szCs w:val="18"/>
      <w:lang w:val="zh-CN" w:bidi="zh-CN"/>
    </w:rPr>
  </w:style>
  <w:style w:type="character" w:customStyle="1" w:styleId="a4">
    <w:name w:val="批注文字 字符"/>
    <w:basedOn w:val="a0"/>
    <w:link w:val="a3"/>
    <w:qFormat/>
    <w:rPr>
      <w:rFonts w:ascii="仿宋" w:eastAsia="仿宋" w:hAnsi="仿宋" w:cs="仿宋"/>
      <w:sz w:val="22"/>
      <w:szCs w:val="22"/>
      <w:lang w:val="zh-CN" w:bidi="zh-CN"/>
    </w:rPr>
  </w:style>
  <w:style w:type="character" w:customStyle="1" w:styleId="ad">
    <w:name w:val="批注主题 字符"/>
    <w:basedOn w:val="a4"/>
    <w:link w:val="ac"/>
    <w:qFormat/>
    <w:rPr>
      <w:rFonts w:ascii="仿宋" w:eastAsia="仿宋" w:hAnsi="仿宋" w:cs="仿宋"/>
      <w:b/>
      <w:bCs/>
      <w:sz w:val="22"/>
      <w:szCs w:val="22"/>
      <w:lang w:val="zh-CN" w:bidi="zh-CN"/>
    </w:rPr>
  </w:style>
  <w:style w:type="character" w:customStyle="1" w:styleId="a7">
    <w:name w:val="批注框文本 字符"/>
    <w:basedOn w:val="a0"/>
    <w:link w:val="a6"/>
    <w:qFormat/>
    <w:rPr>
      <w:rFonts w:ascii="仿宋" w:eastAsia="仿宋" w:hAnsi="仿宋" w:cs="仿宋"/>
      <w:sz w:val="18"/>
      <w:szCs w:val="18"/>
      <w:lang w:val="zh-CN" w:bidi="zh-CN"/>
    </w:rPr>
  </w:style>
  <w:style w:type="paragraph" w:customStyle="1" w:styleId="10">
    <w:name w:val="修订1"/>
    <w:hidden/>
    <w:uiPriority w:val="99"/>
    <w:unhideWhenUsed/>
    <w:qFormat/>
    <w:rPr>
      <w:rFonts w:ascii="仿宋" w:eastAsia="仿宋" w:hAnsi="仿宋" w:cs="仿宋"/>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416454-D52C-4974-A468-5D02FFFCA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1278</Words>
  <Characters>1572</Characters>
  <Application>Microsoft Office Word</Application>
  <DocSecurity>0</DocSecurity>
  <Lines>174</Lines>
  <Paragraphs>167</Paragraphs>
  <ScaleCrop>false</ScaleCrop>
  <Company/>
  <LinksUpToDate>false</LinksUpToDate>
  <CharactersWithSpaces>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jie.huang</dc:creator>
  <cp:lastModifiedBy>Lenovo</cp:lastModifiedBy>
  <cp:revision>8</cp:revision>
  <dcterms:created xsi:type="dcterms:W3CDTF">2025-04-11T01:25:00Z</dcterms:created>
  <dcterms:modified xsi:type="dcterms:W3CDTF">2025-04-11T09:33:00Z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57D148DF2F764966BF4E1C38A6255FA2</vt:lpwstr>
  </property>
  <property fmtid="{D5CDD505-2E9C-101B-9397-08002B2CF9AE}" pid="4" name="KSOTemplateDocerSaveRecord">
    <vt:lpwstr>eyJoZGlkIjoiZDcwODRhMGU2YjNkNGJlNzYyMzY5MWJhZmYyMWZiNzkiLCJ1c2VySWQiOiIzODE5MTQyMzYifQ==</vt:lpwstr>
  </property>
</Properties>
</file>