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06F886" w14:textId="77777777" w:rsidR="000822AE" w:rsidRDefault="004A6D09">
      <w:pPr>
        <w:pStyle w:val="Default"/>
        <w:spacing w:line="360" w:lineRule="exact"/>
        <w:jc w:val="center"/>
        <w:rPr>
          <w:rFonts w:ascii="宋体" w:eastAsia="宋体" w:hAnsi="宋体" w:cs="宋体"/>
          <w:b/>
          <w:bCs/>
          <w:szCs w:val="28"/>
        </w:rPr>
      </w:pPr>
      <w:r>
        <w:rPr>
          <w:rFonts w:ascii="宋体" w:eastAsia="宋体" w:hAnsi="宋体" w:cs="宋体" w:hint="eastAsia"/>
          <w:b/>
          <w:bCs/>
          <w:szCs w:val="28"/>
        </w:rPr>
        <w:t>天合光能股份有限公司</w:t>
      </w:r>
    </w:p>
    <w:p w14:paraId="1878EBEC" w14:textId="77777777" w:rsidR="000822AE" w:rsidRDefault="004A6D09">
      <w:pPr>
        <w:pStyle w:val="Default"/>
        <w:spacing w:line="360" w:lineRule="exact"/>
        <w:jc w:val="center"/>
        <w:rPr>
          <w:rFonts w:ascii="宋体" w:eastAsia="宋体" w:hAnsi="宋体" w:cs="宋体"/>
          <w:b/>
          <w:bCs/>
          <w:szCs w:val="28"/>
        </w:rPr>
      </w:pPr>
      <w:r>
        <w:rPr>
          <w:rFonts w:ascii="宋体" w:eastAsia="宋体" w:hAnsi="宋体" w:cs="宋体" w:hint="eastAsia"/>
          <w:b/>
          <w:bCs/>
          <w:szCs w:val="28"/>
        </w:rPr>
        <w:t>投资者关系活动记录表</w:t>
      </w:r>
    </w:p>
    <w:p w14:paraId="71FF7BE5" w14:textId="4AF70FB7" w:rsidR="000822AE" w:rsidRDefault="004A6D09">
      <w:pPr>
        <w:wordWrap w:val="0"/>
        <w:spacing w:line="360" w:lineRule="auto"/>
        <w:jc w:val="right"/>
        <w:rPr>
          <w:rFonts w:ascii="宋体" w:eastAsia="宋体" w:hAnsi="宋体" w:cs="Times New Roman"/>
          <w:sz w:val="22"/>
        </w:rPr>
      </w:pPr>
      <w:r>
        <w:rPr>
          <w:rFonts w:ascii="宋体" w:eastAsia="宋体" w:hAnsi="宋体" w:cs="Times New Roman" w:hint="eastAsia"/>
          <w:sz w:val="22"/>
        </w:rPr>
        <w:t>编号</w:t>
      </w:r>
      <w:r>
        <w:rPr>
          <w:rFonts w:ascii="宋体" w:eastAsia="宋体" w:hAnsi="宋体" w:cs="Times New Roman"/>
          <w:sz w:val="22"/>
        </w:rPr>
        <w:t>：</w:t>
      </w:r>
      <w:r>
        <w:rPr>
          <w:rFonts w:ascii="宋体" w:eastAsia="宋体" w:hAnsi="宋体" w:cs="Times New Roman" w:hint="eastAsia"/>
          <w:sz w:val="22"/>
        </w:rPr>
        <w:t>2</w:t>
      </w:r>
      <w:r>
        <w:rPr>
          <w:rFonts w:ascii="宋体" w:eastAsia="宋体" w:hAnsi="宋体" w:cs="Times New Roman"/>
          <w:sz w:val="22"/>
        </w:rPr>
        <w:t>02</w:t>
      </w:r>
      <w:r>
        <w:rPr>
          <w:rFonts w:ascii="宋体" w:eastAsia="宋体" w:hAnsi="宋体" w:cs="Times New Roman" w:hint="eastAsia"/>
          <w:sz w:val="22"/>
        </w:rPr>
        <w:t>4-0</w:t>
      </w:r>
      <w:r w:rsidR="00654EB0">
        <w:rPr>
          <w:rFonts w:ascii="宋体" w:eastAsia="宋体" w:hAnsi="宋体" w:cs="Times New Roman"/>
          <w:sz w:val="22"/>
        </w:rPr>
        <w:t>04</w:t>
      </w:r>
    </w:p>
    <w:tbl>
      <w:tblPr>
        <w:tblStyle w:val="1"/>
        <w:tblW w:w="8642" w:type="dxa"/>
        <w:jc w:val="center"/>
        <w:tblLayout w:type="fixed"/>
        <w:tblLook w:val="04A0" w:firstRow="1" w:lastRow="0" w:firstColumn="1" w:lastColumn="0" w:noHBand="0" w:noVBand="1"/>
      </w:tblPr>
      <w:tblGrid>
        <w:gridCol w:w="1838"/>
        <w:gridCol w:w="6804"/>
      </w:tblGrid>
      <w:tr w:rsidR="000822AE" w14:paraId="1D7FC906" w14:textId="77777777">
        <w:trPr>
          <w:trHeight w:val="1926"/>
          <w:jc w:val="center"/>
        </w:trPr>
        <w:tc>
          <w:tcPr>
            <w:tcW w:w="1838" w:type="dxa"/>
            <w:vAlign w:val="center"/>
          </w:tcPr>
          <w:p w14:paraId="7141051D" w14:textId="77777777" w:rsidR="000822AE" w:rsidRDefault="004A6D09">
            <w:pPr>
              <w:spacing w:line="360" w:lineRule="exact"/>
              <w:jc w:val="center"/>
              <w:rPr>
                <w:rFonts w:ascii="宋体" w:eastAsia="宋体" w:hAnsi="宋体" w:cs="Times New Roman"/>
                <w:b/>
                <w:bCs/>
                <w:sz w:val="22"/>
              </w:rPr>
            </w:pPr>
            <w:r>
              <w:rPr>
                <w:rFonts w:ascii="宋体" w:eastAsia="宋体" w:hAnsi="宋体" w:cs="Times New Roman" w:hint="eastAsia"/>
                <w:b/>
                <w:bCs/>
                <w:sz w:val="22"/>
              </w:rPr>
              <w:t>投资者关系活动类别</w:t>
            </w:r>
          </w:p>
        </w:tc>
        <w:tc>
          <w:tcPr>
            <w:tcW w:w="6804" w:type="dxa"/>
          </w:tcPr>
          <w:p w14:paraId="666E0C5D" w14:textId="29C46A88" w:rsidR="000822AE" w:rsidRDefault="00600DD5">
            <w:pPr>
              <w:spacing w:line="360" w:lineRule="exact"/>
              <w:jc w:val="left"/>
              <w:rPr>
                <w:rFonts w:ascii="宋体" w:eastAsia="宋体" w:hAnsi="宋体" w:cs="Times New Roman"/>
                <w:sz w:val="22"/>
              </w:rPr>
            </w:pPr>
            <w:r w:rsidRPr="00600DD5">
              <w:rPr>
                <w:rFonts w:ascii="宋体" w:eastAsia="宋体" w:hAnsi="宋体" w:cs="Times New Roman" w:hint="eastAsia"/>
                <w:szCs w:val="21"/>
              </w:rPr>
              <w:t>□</w:t>
            </w:r>
            <w:r>
              <w:rPr>
                <w:rFonts w:ascii="宋体" w:eastAsia="宋体" w:hAnsi="宋体" w:cs="Times New Roman" w:hint="eastAsia"/>
                <w:sz w:val="22"/>
              </w:rPr>
              <w:t xml:space="preserve">特定对象调研 </w:t>
            </w:r>
            <w:r>
              <w:rPr>
                <w:rFonts w:ascii="宋体" w:eastAsia="宋体" w:hAnsi="宋体" w:cs="Times New Roman"/>
                <w:sz w:val="22"/>
              </w:rPr>
              <w:t xml:space="preserve">   </w:t>
            </w:r>
            <w:r w:rsidR="00F5522B" w:rsidRPr="00F5522B">
              <w:rPr>
                <w:rFonts w:ascii="宋体" w:eastAsia="宋体" w:hAnsi="宋体" w:cs="Times New Roman" w:hint="eastAsia"/>
                <w:sz w:val="22"/>
              </w:rPr>
              <w:t>□</w:t>
            </w:r>
            <w:r>
              <w:rPr>
                <w:rFonts w:ascii="宋体" w:eastAsia="宋体" w:hAnsi="宋体" w:cs="Times New Roman" w:hint="eastAsia"/>
                <w:sz w:val="22"/>
              </w:rPr>
              <w:t>分析师会议</w:t>
            </w:r>
          </w:p>
          <w:p w14:paraId="26DD3C1B" w14:textId="65D4C69A" w:rsidR="000822AE" w:rsidRDefault="004A6D09">
            <w:pPr>
              <w:autoSpaceDE w:val="0"/>
              <w:autoSpaceDN w:val="0"/>
              <w:spacing w:line="360" w:lineRule="exact"/>
              <w:jc w:val="left"/>
              <w:rPr>
                <w:rFonts w:ascii="宋体" w:eastAsia="宋体" w:hAnsi="宋体" w:cs="Noto Sans CJK JP Regular"/>
                <w:kern w:val="0"/>
                <w:sz w:val="22"/>
              </w:rPr>
            </w:pPr>
            <w:r>
              <w:rPr>
                <w:rFonts w:ascii="宋体" w:eastAsia="宋体" w:hAnsi="宋体" w:cs="Times New Roman" w:hint="eastAsia"/>
                <w:sz w:val="22"/>
              </w:rPr>
              <w:t>□</w:t>
            </w:r>
            <w:r>
              <w:rPr>
                <w:rFonts w:ascii="宋体" w:eastAsia="宋体" w:hAnsi="宋体" w:cs="Noto Sans CJK JP Regular" w:hint="eastAsia"/>
                <w:kern w:val="0"/>
                <w:sz w:val="22"/>
              </w:rPr>
              <w:t xml:space="preserve">媒体采访 </w:t>
            </w:r>
            <w:r>
              <w:rPr>
                <w:rFonts w:ascii="宋体" w:eastAsia="宋体" w:hAnsi="宋体" w:cs="Noto Sans CJK JP Regular"/>
                <w:kern w:val="0"/>
                <w:sz w:val="22"/>
              </w:rPr>
              <w:t xml:space="preserve">       </w:t>
            </w:r>
            <w:r w:rsidR="00F5522B" w:rsidRPr="00F5522B">
              <w:rPr>
                <w:rFonts w:ascii="宋体" w:eastAsia="宋体" w:hAnsi="宋体" w:cs="Noto Sans CJK JP Regular" w:hint="eastAsia"/>
                <w:kern w:val="0"/>
                <w:sz w:val="22"/>
              </w:rPr>
              <w:t>√</w:t>
            </w:r>
            <w:r>
              <w:rPr>
                <w:rFonts w:ascii="宋体" w:eastAsia="宋体" w:hAnsi="宋体" w:cs="Noto Sans CJK JP Regular" w:hint="eastAsia"/>
                <w:kern w:val="0"/>
                <w:sz w:val="22"/>
              </w:rPr>
              <w:t>业绩说明会</w:t>
            </w:r>
          </w:p>
          <w:p w14:paraId="10579601" w14:textId="31DE4AAE" w:rsidR="000822AE" w:rsidRDefault="004A6D09">
            <w:pPr>
              <w:autoSpaceDE w:val="0"/>
              <w:autoSpaceDN w:val="0"/>
              <w:spacing w:line="360" w:lineRule="exact"/>
              <w:jc w:val="left"/>
              <w:rPr>
                <w:rFonts w:ascii="宋体" w:eastAsia="宋体" w:hAnsi="宋体" w:cs="Noto Sans CJK JP Regular"/>
                <w:kern w:val="0"/>
                <w:sz w:val="22"/>
              </w:rPr>
            </w:pPr>
            <w:r>
              <w:rPr>
                <w:rFonts w:ascii="宋体" w:eastAsia="宋体" w:hAnsi="宋体" w:cs="Noto Sans CJK JP Regular" w:hint="eastAsia"/>
                <w:kern w:val="0"/>
                <w:sz w:val="22"/>
              </w:rPr>
              <w:t xml:space="preserve">□新闻发布会 </w:t>
            </w:r>
            <w:r>
              <w:rPr>
                <w:rFonts w:ascii="宋体" w:eastAsia="宋体" w:hAnsi="宋体" w:cs="Noto Sans CJK JP Regular"/>
                <w:kern w:val="0"/>
                <w:sz w:val="22"/>
              </w:rPr>
              <w:t xml:space="preserve">     </w:t>
            </w:r>
            <w:r w:rsidR="00F5522B" w:rsidRPr="00F5522B">
              <w:rPr>
                <w:rFonts w:ascii="宋体" w:eastAsia="宋体" w:hAnsi="宋体" w:cs="Noto Sans CJK JP Regular" w:hint="eastAsia"/>
                <w:kern w:val="0"/>
                <w:sz w:val="22"/>
              </w:rPr>
              <w:t>□</w:t>
            </w:r>
            <w:r>
              <w:rPr>
                <w:rFonts w:ascii="宋体" w:eastAsia="宋体" w:hAnsi="宋体" w:cs="Noto Sans CJK JP Regular" w:hint="eastAsia"/>
                <w:kern w:val="0"/>
                <w:sz w:val="22"/>
              </w:rPr>
              <w:t>路演活动</w:t>
            </w:r>
            <w:bookmarkStart w:id="0" w:name="_GoBack"/>
            <w:bookmarkEnd w:id="0"/>
          </w:p>
          <w:p w14:paraId="0B224EB4" w14:textId="0C4F735E" w:rsidR="000822AE" w:rsidRDefault="00F5522B">
            <w:pPr>
              <w:spacing w:line="360" w:lineRule="exact"/>
              <w:jc w:val="left"/>
              <w:rPr>
                <w:rFonts w:ascii="宋体" w:eastAsia="宋体" w:hAnsi="宋体" w:cs="Times New Roman"/>
                <w:sz w:val="22"/>
              </w:rPr>
            </w:pPr>
            <w:r w:rsidRPr="00F5522B">
              <w:rPr>
                <w:rFonts w:ascii="宋体" w:eastAsia="宋体" w:hAnsi="宋体" w:cs="Noto Sans CJK JP Regular" w:hint="eastAsia"/>
                <w:kern w:val="0"/>
                <w:sz w:val="22"/>
              </w:rPr>
              <w:t>□</w:t>
            </w:r>
            <w:r w:rsidR="00600DD5">
              <w:rPr>
                <w:rFonts w:ascii="宋体" w:eastAsia="宋体" w:hAnsi="宋体" w:cs="Times New Roman" w:hint="eastAsia"/>
                <w:sz w:val="22"/>
              </w:rPr>
              <w:t>现场参观</w:t>
            </w:r>
          </w:p>
          <w:p w14:paraId="3E31F48E" w14:textId="77777777" w:rsidR="000822AE" w:rsidRDefault="004A6D09">
            <w:pPr>
              <w:spacing w:line="360" w:lineRule="exact"/>
              <w:jc w:val="left"/>
              <w:rPr>
                <w:rFonts w:ascii="宋体" w:eastAsia="宋体" w:hAnsi="宋体" w:cs="Times New Roman"/>
                <w:sz w:val="22"/>
              </w:rPr>
            </w:pPr>
            <w:r>
              <w:rPr>
                <w:rFonts w:ascii="宋体" w:eastAsia="宋体" w:hAnsi="宋体" w:cs="Noto Sans CJK JP Regular" w:hint="eastAsia"/>
                <w:kern w:val="0"/>
                <w:sz w:val="22"/>
              </w:rPr>
              <w:t>□</w:t>
            </w:r>
            <w:r>
              <w:rPr>
                <w:rFonts w:ascii="宋体" w:eastAsia="宋体" w:hAnsi="宋体" w:cs="Times New Roman" w:hint="eastAsia"/>
                <w:sz w:val="22"/>
              </w:rPr>
              <w:t>其他</w:t>
            </w:r>
          </w:p>
        </w:tc>
      </w:tr>
      <w:tr w:rsidR="000822AE" w14:paraId="2F0F4877" w14:textId="77777777">
        <w:trPr>
          <w:trHeight w:val="700"/>
          <w:jc w:val="center"/>
        </w:trPr>
        <w:tc>
          <w:tcPr>
            <w:tcW w:w="1838" w:type="dxa"/>
            <w:vAlign w:val="center"/>
          </w:tcPr>
          <w:p w14:paraId="4A4FB210" w14:textId="77777777" w:rsidR="000822AE" w:rsidRDefault="004A6D09">
            <w:pPr>
              <w:spacing w:line="360" w:lineRule="exact"/>
              <w:jc w:val="center"/>
              <w:rPr>
                <w:rFonts w:ascii="宋体" w:eastAsia="宋体" w:hAnsi="宋体" w:cs="Times New Roman"/>
                <w:b/>
                <w:bCs/>
                <w:sz w:val="22"/>
              </w:rPr>
            </w:pPr>
            <w:r>
              <w:rPr>
                <w:rFonts w:ascii="宋体" w:eastAsia="宋体" w:hAnsi="宋体" w:cs="Times New Roman" w:hint="eastAsia"/>
                <w:b/>
                <w:bCs/>
                <w:sz w:val="22"/>
              </w:rPr>
              <w:t>参与</w:t>
            </w:r>
            <w:r>
              <w:rPr>
                <w:rFonts w:ascii="宋体" w:eastAsia="宋体" w:hAnsi="宋体" w:cs="Times New Roman"/>
                <w:b/>
                <w:bCs/>
                <w:sz w:val="22"/>
              </w:rPr>
              <w:t>单位</w:t>
            </w:r>
          </w:p>
        </w:tc>
        <w:tc>
          <w:tcPr>
            <w:tcW w:w="6804" w:type="dxa"/>
            <w:vAlign w:val="center"/>
          </w:tcPr>
          <w:p w14:paraId="6E6EE335" w14:textId="37A9A6C0" w:rsidR="00397B33" w:rsidRDefault="00397B33">
            <w:pPr>
              <w:spacing w:line="276" w:lineRule="auto"/>
              <w:rPr>
                <w:rFonts w:ascii="宋体" w:eastAsia="宋体" w:hAnsi="宋体" w:cs="Times New Roman"/>
                <w:szCs w:val="21"/>
              </w:rPr>
            </w:pPr>
            <w:r w:rsidRPr="00397B33">
              <w:rPr>
                <w:rFonts w:ascii="宋体" w:eastAsia="宋体" w:hAnsi="宋体" w:cs="Times New Roman" w:hint="eastAsia"/>
                <w:szCs w:val="21"/>
              </w:rPr>
              <w:t>天弘基金、中加基金、长城基金、兴证全球基金、圆信永丰基金、工银瑞信基金、上银基金、东兴基金、平安基金、景顺长城基金、泉果基金、博时基金、永赢基金、易方达基金、国金基金、汇添富基金、银华基金、南方基金、太保资管、中国人保资管、中国平安、恒安人寿、中再资管、人寿保险、财通证券资管、德邦证</w:t>
            </w:r>
            <w:r w:rsidR="007C653D">
              <w:rPr>
                <w:rFonts w:ascii="宋体" w:eastAsia="宋体" w:hAnsi="宋体" w:cs="Times New Roman" w:hint="eastAsia"/>
                <w:szCs w:val="21"/>
              </w:rPr>
              <w:t>券资管、东方证券资管、华泰证券资管、正圆私募基金、北京柏治资本、</w:t>
            </w:r>
            <w:r w:rsidRPr="00397B33">
              <w:rPr>
                <w:rFonts w:ascii="宋体" w:eastAsia="宋体" w:hAnsi="宋体" w:cs="Times New Roman" w:hint="eastAsia"/>
                <w:szCs w:val="21"/>
              </w:rPr>
              <w:t>北京诚旸投资、至璞资管、尚诚资管、北京枫瑞基金、平安资本、光合未来私募基金、深圳睿德信、合道资管、上海长见投资、润卿基金、上海景富投资、摩根大通、野村国际、美银证券、摩根士丹利、瑞银集团、花旗环球金融、交银证券、</w:t>
            </w:r>
            <w:r w:rsidRPr="00397B33">
              <w:rPr>
                <w:rFonts w:ascii="宋体" w:eastAsia="宋体" w:hAnsi="宋体" w:cs="Times New Roman"/>
                <w:szCs w:val="21"/>
              </w:rPr>
              <w:t>IGWT投资、宁远资本、美银证券、安信国际证券、花旗环球金融、博裕资本、兴银理财、汇华理财、Point72、申万宏源证券、华福证券、长城证券、东方证券、东北证券、西部证券、国泰君安证券、首创证券、华创证券、东方财富证券、东吴证券、财通证券、东海证券、国信证券、华西证券、浙商证券、中泰证券、中航证券、摩根大通证券(中国)、中国国际金融、长江证券、兴业证券、光大证券、高盛中国证券、中信证券、中银国际证券、中国银河证券、瑞银证券、招商证券、华金证券、天风证券、国金证</w:t>
            </w:r>
            <w:r w:rsidRPr="00397B33">
              <w:rPr>
                <w:rFonts w:ascii="宋体" w:eastAsia="宋体" w:hAnsi="宋体" w:cs="Times New Roman" w:hint="eastAsia"/>
                <w:szCs w:val="21"/>
              </w:rPr>
              <w:t>券、民生证券、野村东方国际证券、太平洋证券、国联证券、中信建投证券等</w:t>
            </w:r>
          </w:p>
        </w:tc>
      </w:tr>
      <w:tr w:rsidR="000822AE" w14:paraId="53921372" w14:textId="77777777">
        <w:trPr>
          <w:trHeight w:val="1415"/>
          <w:jc w:val="center"/>
        </w:trPr>
        <w:tc>
          <w:tcPr>
            <w:tcW w:w="1838" w:type="dxa"/>
            <w:vAlign w:val="center"/>
          </w:tcPr>
          <w:p w14:paraId="785BB965" w14:textId="77777777" w:rsidR="000822AE" w:rsidRDefault="004A6D09">
            <w:pPr>
              <w:spacing w:line="360" w:lineRule="exact"/>
              <w:jc w:val="center"/>
              <w:rPr>
                <w:rFonts w:ascii="宋体" w:eastAsia="宋体" w:hAnsi="宋体" w:cs="Times New Roman"/>
                <w:b/>
                <w:bCs/>
                <w:sz w:val="22"/>
              </w:rPr>
            </w:pPr>
            <w:r>
              <w:rPr>
                <w:rFonts w:ascii="宋体" w:eastAsia="宋体" w:hAnsi="宋体" w:cs="Times New Roman" w:hint="eastAsia"/>
                <w:b/>
                <w:bCs/>
                <w:sz w:val="22"/>
              </w:rPr>
              <w:t>公司</w:t>
            </w:r>
            <w:r>
              <w:rPr>
                <w:rFonts w:ascii="宋体" w:eastAsia="宋体" w:hAnsi="宋体" w:cs="Times New Roman"/>
                <w:b/>
                <w:bCs/>
                <w:sz w:val="22"/>
              </w:rPr>
              <w:t>接待人员姓名</w:t>
            </w:r>
            <w:r>
              <w:rPr>
                <w:rFonts w:ascii="宋体" w:eastAsia="宋体" w:hAnsi="宋体" w:cs="Times New Roman" w:hint="eastAsia"/>
                <w:b/>
                <w:bCs/>
                <w:sz w:val="22"/>
              </w:rPr>
              <w:t>及职务</w:t>
            </w:r>
          </w:p>
        </w:tc>
        <w:tc>
          <w:tcPr>
            <w:tcW w:w="6804" w:type="dxa"/>
            <w:vAlign w:val="center"/>
          </w:tcPr>
          <w:p w14:paraId="3B785D29" w14:textId="77777777" w:rsidR="00EF0C0A" w:rsidRDefault="00EF0C0A">
            <w:pPr>
              <w:spacing w:line="276" w:lineRule="auto"/>
              <w:rPr>
                <w:rFonts w:ascii="宋体" w:eastAsia="宋体" w:hAnsi="宋体" w:cs="Times New Roman"/>
                <w:szCs w:val="21"/>
              </w:rPr>
            </w:pPr>
          </w:p>
          <w:p w14:paraId="25E28154" w14:textId="77777777" w:rsidR="008A2403" w:rsidRPr="008A2403" w:rsidRDefault="008A2403" w:rsidP="008A2403">
            <w:pPr>
              <w:spacing w:line="276" w:lineRule="auto"/>
              <w:rPr>
                <w:rFonts w:ascii="宋体" w:eastAsia="宋体" w:hAnsi="宋体" w:cs="Times New Roman"/>
                <w:szCs w:val="21"/>
              </w:rPr>
            </w:pPr>
            <w:r w:rsidRPr="008A2403">
              <w:rPr>
                <w:rFonts w:ascii="宋体" w:eastAsia="宋体" w:hAnsi="宋体" w:cs="Times New Roman" w:hint="eastAsia"/>
                <w:szCs w:val="21"/>
              </w:rPr>
              <w:t>董事长、总经理：高纪凡</w:t>
            </w:r>
          </w:p>
          <w:p w14:paraId="7D8835D3" w14:textId="0A1641B5" w:rsidR="008A2403" w:rsidRPr="008A2403" w:rsidRDefault="00397B33" w:rsidP="008A2403">
            <w:pPr>
              <w:spacing w:line="276" w:lineRule="auto"/>
              <w:rPr>
                <w:rFonts w:ascii="宋体" w:eastAsia="宋体" w:hAnsi="宋体" w:cs="Times New Roman"/>
                <w:szCs w:val="21"/>
              </w:rPr>
            </w:pPr>
            <w:r>
              <w:rPr>
                <w:rFonts w:ascii="宋体" w:eastAsia="宋体" w:hAnsi="宋体" w:cs="Times New Roman" w:hint="eastAsia"/>
                <w:szCs w:val="21"/>
              </w:rPr>
              <w:t>联席董事长</w:t>
            </w:r>
            <w:r w:rsidR="008A2403" w:rsidRPr="008A2403">
              <w:rPr>
                <w:rFonts w:ascii="宋体" w:eastAsia="宋体" w:hAnsi="宋体" w:cs="Times New Roman" w:hint="eastAsia"/>
                <w:szCs w:val="21"/>
              </w:rPr>
              <w:t>：高海纯</w:t>
            </w:r>
          </w:p>
          <w:p w14:paraId="6D85D656" w14:textId="77777777" w:rsidR="008A2403" w:rsidRPr="008A2403" w:rsidRDefault="008A2403" w:rsidP="008A2403">
            <w:pPr>
              <w:spacing w:line="276" w:lineRule="auto"/>
              <w:rPr>
                <w:rFonts w:ascii="宋体" w:eastAsia="宋体" w:hAnsi="宋体" w:cs="Times New Roman"/>
                <w:szCs w:val="21"/>
              </w:rPr>
            </w:pPr>
            <w:r w:rsidRPr="008A2403">
              <w:rPr>
                <w:rFonts w:ascii="宋体" w:eastAsia="宋体" w:hAnsi="宋体" w:cs="Times New Roman" w:hint="eastAsia"/>
                <w:szCs w:val="21"/>
              </w:rPr>
              <w:t>董事：朱文瑾</w:t>
            </w:r>
          </w:p>
          <w:p w14:paraId="427C96A8" w14:textId="77777777" w:rsidR="008A2403" w:rsidRPr="008A2403" w:rsidRDefault="008A2403" w:rsidP="008A2403">
            <w:pPr>
              <w:spacing w:line="276" w:lineRule="auto"/>
              <w:rPr>
                <w:rFonts w:ascii="宋体" w:eastAsia="宋体" w:hAnsi="宋体" w:cs="Times New Roman"/>
                <w:szCs w:val="21"/>
              </w:rPr>
            </w:pPr>
            <w:r w:rsidRPr="008A2403">
              <w:rPr>
                <w:rFonts w:ascii="宋体" w:eastAsia="宋体" w:hAnsi="宋体" w:cs="Times New Roman" w:hint="eastAsia"/>
                <w:szCs w:val="21"/>
              </w:rPr>
              <w:t>财务负责人：吴森</w:t>
            </w:r>
          </w:p>
          <w:p w14:paraId="40AC76C9" w14:textId="77777777" w:rsidR="008A2403" w:rsidRPr="008A2403" w:rsidRDefault="008A2403" w:rsidP="008A2403">
            <w:pPr>
              <w:spacing w:line="276" w:lineRule="auto"/>
              <w:rPr>
                <w:rFonts w:ascii="宋体" w:eastAsia="宋体" w:hAnsi="宋体" w:cs="Times New Roman"/>
                <w:szCs w:val="21"/>
              </w:rPr>
            </w:pPr>
            <w:r w:rsidRPr="008A2403">
              <w:rPr>
                <w:rFonts w:ascii="宋体" w:eastAsia="宋体" w:hAnsi="宋体" w:cs="Times New Roman" w:hint="eastAsia"/>
                <w:szCs w:val="21"/>
              </w:rPr>
              <w:t>研发负责人：陈奕峰</w:t>
            </w:r>
          </w:p>
          <w:p w14:paraId="6D1C25D5" w14:textId="77777777" w:rsidR="00EF0C0A" w:rsidRDefault="008A2403" w:rsidP="008A2403">
            <w:pPr>
              <w:spacing w:line="276" w:lineRule="auto"/>
              <w:rPr>
                <w:rFonts w:ascii="宋体" w:eastAsia="宋体" w:hAnsi="宋体" w:cs="Times New Roman"/>
                <w:szCs w:val="21"/>
              </w:rPr>
            </w:pPr>
            <w:r w:rsidRPr="008A2403">
              <w:rPr>
                <w:rFonts w:ascii="宋体" w:eastAsia="宋体" w:hAnsi="宋体" w:cs="Times New Roman" w:hint="eastAsia"/>
                <w:szCs w:val="21"/>
              </w:rPr>
              <w:t>董事会秘书：吴群</w:t>
            </w:r>
          </w:p>
          <w:p w14:paraId="4C5E2A85" w14:textId="3355C8FF" w:rsidR="008A2403" w:rsidRDefault="008A2403" w:rsidP="008A2403">
            <w:pPr>
              <w:spacing w:line="276" w:lineRule="auto"/>
              <w:rPr>
                <w:rFonts w:ascii="宋体" w:eastAsia="宋体" w:hAnsi="宋体" w:cs="Times New Roman"/>
                <w:szCs w:val="21"/>
              </w:rPr>
            </w:pPr>
          </w:p>
        </w:tc>
      </w:tr>
      <w:tr w:rsidR="000822AE" w14:paraId="67E58786" w14:textId="77777777">
        <w:trPr>
          <w:trHeight w:val="410"/>
          <w:jc w:val="center"/>
        </w:trPr>
        <w:tc>
          <w:tcPr>
            <w:tcW w:w="1838" w:type="dxa"/>
            <w:vAlign w:val="center"/>
          </w:tcPr>
          <w:p w14:paraId="2600E22B" w14:textId="77777777" w:rsidR="000822AE" w:rsidRDefault="004A6D09">
            <w:pPr>
              <w:spacing w:line="360" w:lineRule="exact"/>
              <w:jc w:val="center"/>
              <w:rPr>
                <w:rFonts w:ascii="宋体" w:eastAsia="宋体" w:hAnsi="宋体" w:cs="Times New Roman"/>
                <w:b/>
                <w:bCs/>
                <w:sz w:val="22"/>
              </w:rPr>
            </w:pPr>
            <w:r>
              <w:rPr>
                <w:rFonts w:ascii="宋体" w:eastAsia="宋体" w:hAnsi="宋体" w:cs="Times New Roman" w:hint="eastAsia"/>
                <w:b/>
                <w:bCs/>
                <w:sz w:val="22"/>
              </w:rPr>
              <w:t>时间</w:t>
            </w:r>
          </w:p>
        </w:tc>
        <w:tc>
          <w:tcPr>
            <w:tcW w:w="6804" w:type="dxa"/>
          </w:tcPr>
          <w:p w14:paraId="0AF158BA" w14:textId="6B3A2F6F" w:rsidR="000822AE" w:rsidRDefault="004A6D09">
            <w:pPr>
              <w:spacing w:line="360" w:lineRule="exact"/>
              <w:jc w:val="left"/>
              <w:rPr>
                <w:rFonts w:ascii="宋体" w:eastAsia="宋体" w:hAnsi="宋体" w:cs="Times New Roman"/>
                <w:sz w:val="22"/>
              </w:rPr>
            </w:pPr>
            <w:r>
              <w:rPr>
                <w:rFonts w:ascii="宋体" w:eastAsia="宋体" w:hAnsi="宋体" w:cs="Times New Roman" w:hint="eastAsia"/>
                <w:sz w:val="22"/>
              </w:rPr>
              <w:t>2</w:t>
            </w:r>
            <w:r>
              <w:rPr>
                <w:rFonts w:ascii="宋体" w:eastAsia="宋体" w:hAnsi="宋体" w:cs="Times New Roman"/>
                <w:sz w:val="22"/>
              </w:rPr>
              <w:t>02</w:t>
            </w:r>
            <w:r w:rsidR="00D14823">
              <w:rPr>
                <w:rFonts w:ascii="宋体" w:eastAsia="宋体" w:hAnsi="宋体" w:cs="Times New Roman" w:hint="eastAsia"/>
                <w:sz w:val="22"/>
              </w:rPr>
              <w:t>5</w:t>
            </w:r>
            <w:r>
              <w:rPr>
                <w:rFonts w:ascii="宋体" w:eastAsia="宋体" w:hAnsi="宋体" w:cs="Times New Roman" w:hint="eastAsia"/>
                <w:sz w:val="22"/>
              </w:rPr>
              <w:t>年</w:t>
            </w:r>
            <w:r w:rsidR="00D14823">
              <w:rPr>
                <w:rFonts w:ascii="宋体" w:eastAsia="宋体" w:hAnsi="宋体" w:cs="Times New Roman" w:hint="eastAsia"/>
                <w:sz w:val="22"/>
              </w:rPr>
              <w:t>4</w:t>
            </w:r>
            <w:r>
              <w:rPr>
                <w:rFonts w:ascii="宋体" w:eastAsia="宋体" w:hAnsi="宋体" w:cs="Times New Roman" w:hint="eastAsia"/>
                <w:sz w:val="22"/>
              </w:rPr>
              <w:t>月</w:t>
            </w:r>
            <w:r w:rsidR="00D14823">
              <w:rPr>
                <w:rFonts w:ascii="宋体" w:eastAsia="宋体" w:hAnsi="宋体" w:cs="Times New Roman" w:hint="eastAsia"/>
                <w:sz w:val="22"/>
              </w:rPr>
              <w:t>30</w:t>
            </w:r>
            <w:r w:rsidR="00EF0C0A">
              <w:rPr>
                <w:rFonts w:ascii="宋体" w:eastAsia="宋体" w:hAnsi="宋体" w:cs="Times New Roman" w:hint="eastAsia"/>
                <w:sz w:val="22"/>
              </w:rPr>
              <w:t>日</w:t>
            </w:r>
          </w:p>
        </w:tc>
      </w:tr>
      <w:tr w:rsidR="000822AE" w14:paraId="422B9974" w14:textId="77777777">
        <w:trPr>
          <w:trHeight w:val="417"/>
          <w:jc w:val="center"/>
        </w:trPr>
        <w:tc>
          <w:tcPr>
            <w:tcW w:w="1838" w:type="dxa"/>
            <w:vAlign w:val="center"/>
          </w:tcPr>
          <w:p w14:paraId="6B8D031B" w14:textId="77777777" w:rsidR="000822AE" w:rsidRDefault="004A6D09">
            <w:pPr>
              <w:spacing w:line="360" w:lineRule="exact"/>
              <w:jc w:val="center"/>
              <w:rPr>
                <w:rFonts w:ascii="宋体" w:eastAsia="宋体" w:hAnsi="宋体" w:cs="Times New Roman"/>
                <w:b/>
                <w:bCs/>
                <w:sz w:val="22"/>
              </w:rPr>
            </w:pPr>
            <w:r>
              <w:rPr>
                <w:rFonts w:ascii="宋体" w:eastAsia="宋体" w:hAnsi="宋体" w:cs="Times New Roman" w:hint="eastAsia"/>
                <w:b/>
                <w:bCs/>
                <w:sz w:val="22"/>
              </w:rPr>
              <w:t>地点</w:t>
            </w:r>
          </w:p>
        </w:tc>
        <w:tc>
          <w:tcPr>
            <w:tcW w:w="6804" w:type="dxa"/>
          </w:tcPr>
          <w:p w14:paraId="1BBD2470" w14:textId="1C01CDA2" w:rsidR="000822AE" w:rsidRDefault="00EF0C0A">
            <w:pPr>
              <w:spacing w:line="360" w:lineRule="exact"/>
              <w:jc w:val="left"/>
              <w:rPr>
                <w:rFonts w:ascii="宋体" w:eastAsia="宋体" w:hAnsi="宋体" w:cs="Times New Roman"/>
                <w:sz w:val="22"/>
              </w:rPr>
            </w:pPr>
            <w:r w:rsidRPr="00EF0C0A">
              <w:rPr>
                <w:rFonts w:ascii="宋体" w:eastAsia="宋体" w:hAnsi="宋体" w:cs="Times New Roman" w:hint="eastAsia"/>
                <w:sz w:val="22"/>
              </w:rPr>
              <w:t>电话会议</w:t>
            </w:r>
          </w:p>
        </w:tc>
      </w:tr>
      <w:tr w:rsidR="000822AE" w14:paraId="7E35C660" w14:textId="77777777">
        <w:trPr>
          <w:trHeight w:val="1124"/>
          <w:jc w:val="center"/>
        </w:trPr>
        <w:tc>
          <w:tcPr>
            <w:tcW w:w="1838" w:type="dxa"/>
            <w:vAlign w:val="center"/>
          </w:tcPr>
          <w:p w14:paraId="1DAADCE5" w14:textId="77777777" w:rsidR="000822AE" w:rsidRDefault="004A6D09">
            <w:pPr>
              <w:spacing w:line="360" w:lineRule="exact"/>
              <w:jc w:val="center"/>
              <w:rPr>
                <w:rFonts w:ascii="宋体" w:eastAsia="宋体" w:hAnsi="宋体" w:cs="Times New Roman"/>
                <w:b/>
                <w:bCs/>
                <w:sz w:val="22"/>
              </w:rPr>
            </w:pPr>
            <w:r>
              <w:rPr>
                <w:rFonts w:ascii="宋体" w:eastAsia="宋体" w:hAnsi="宋体" w:cs="Times New Roman" w:hint="eastAsia"/>
                <w:b/>
                <w:bCs/>
                <w:sz w:val="22"/>
              </w:rPr>
              <w:lastRenderedPageBreak/>
              <w:t>投资</w:t>
            </w:r>
            <w:r>
              <w:rPr>
                <w:rFonts w:ascii="宋体" w:eastAsia="宋体" w:hAnsi="宋体" w:cs="Times New Roman"/>
                <w:b/>
                <w:bCs/>
                <w:sz w:val="22"/>
              </w:rPr>
              <w:t>者关系活动</w:t>
            </w:r>
            <w:r>
              <w:rPr>
                <w:rFonts w:ascii="宋体" w:eastAsia="宋体" w:hAnsi="宋体" w:cs="Times New Roman" w:hint="eastAsia"/>
                <w:b/>
                <w:bCs/>
                <w:sz w:val="22"/>
              </w:rPr>
              <w:t>主要</w:t>
            </w:r>
            <w:r>
              <w:rPr>
                <w:rFonts w:ascii="宋体" w:eastAsia="宋体" w:hAnsi="宋体" w:cs="Times New Roman"/>
                <w:b/>
                <w:bCs/>
                <w:sz w:val="22"/>
              </w:rPr>
              <w:t>内容</w:t>
            </w:r>
            <w:r>
              <w:rPr>
                <w:rFonts w:ascii="宋体" w:eastAsia="宋体" w:hAnsi="宋体" w:cs="Times New Roman" w:hint="eastAsia"/>
                <w:b/>
                <w:bCs/>
                <w:sz w:val="22"/>
              </w:rPr>
              <w:t>介绍</w:t>
            </w:r>
          </w:p>
        </w:tc>
        <w:tc>
          <w:tcPr>
            <w:tcW w:w="6804" w:type="dxa"/>
          </w:tcPr>
          <w:p w14:paraId="556CCF0F" w14:textId="0599CE79" w:rsidR="008A2403" w:rsidRDefault="008A2403" w:rsidP="00EA1CBB">
            <w:pPr>
              <w:spacing w:line="360" w:lineRule="auto"/>
              <w:rPr>
                <w:rFonts w:ascii="宋体" w:eastAsia="宋体" w:hAnsi="宋体"/>
                <w:b/>
                <w:bCs/>
                <w:szCs w:val="21"/>
              </w:rPr>
            </w:pPr>
            <w:r>
              <w:rPr>
                <w:rFonts w:ascii="宋体" w:eastAsia="宋体" w:hAnsi="宋体" w:hint="eastAsia"/>
                <w:b/>
                <w:bCs/>
                <w:szCs w:val="21"/>
              </w:rPr>
              <w:t>一、公司报告期内经营情况介绍</w:t>
            </w:r>
          </w:p>
          <w:p w14:paraId="22FCF217" w14:textId="77777777" w:rsidR="003063D5" w:rsidRPr="003063D5" w:rsidRDefault="003063D5" w:rsidP="003063D5">
            <w:pPr>
              <w:ind w:firstLineChars="200" w:firstLine="420"/>
              <w:rPr>
                <w:rFonts w:ascii="宋体" w:eastAsia="宋体" w:hAnsi="宋体"/>
                <w:szCs w:val="21"/>
              </w:rPr>
            </w:pPr>
            <w:r w:rsidRPr="003063D5">
              <w:rPr>
                <w:rFonts w:ascii="宋体" w:eastAsia="宋体" w:hAnsi="宋体"/>
                <w:szCs w:val="21"/>
              </w:rPr>
              <w:t>2024年，全球光伏市场在制造端、应用端保持增长，中国光伏产业继续保持全球领先地位，截至2024年底，我国光伏累计并网容量达8.86亿千瓦，巩固国内第二大电源领先优势，成为构建新型能源体系的关键，对实现双碳目标和保障能源安全具有重大战略价值。而与此同时，24年光伏行业也面临“内卷外堵”的挑战，组件价格快速下降，24年组件月度出口金额均低于2023年同期，叠加外部环境的诸多不确定性，企业的盈利空间被严重压缩，行业企业在2024年普遍出现亏损。</w:t>
            </w:r>
          </w:p>
          <w:p w14:paraId="5CE028A2" w14:textId="77777777" w:rsidR="003063D5" w:rsidRPr="003063D5" w:rsidRDefault="003063D5" w:rsidP="003063D5">
            <w:pPr>
              <w:ind w:firstLineChars="200" w:firstLine="420"/>
              <w:rPr>
                <w:rFonts w:ascii="宋体" w:eastAsia="宋体" w:hAnsi="宋体"/>
                <w:szCs w:val="21"/>
              </w:rPr>
            </w:pPr>
            <w:r w:rsidRPr="003063D5">
              <w:rPr>
                <w:rFonts w:ascii="宋体" w:eastAsia="宋体" w:hAnsi="宋体" w:hint="eastAsia"/>
                <w:szCs w:val="21"/>
              </w:rPr>
              <w:t>面对如此复杂的市场环境，报告期内，公司进一步优化业务架构，形成光伏产品、储能业务、系统解决方案及数字能源服务四维业务矩阵，旨在深化解决方案业务，打造第二增长曲线，培育新业务增长点，从光伏产品制造商转型升级为光伏及储能智慧能源整体解决方案提供商，实现高质量科技创新和生态协同发展。具体到各业务条线：</w:t>
            </w:r>
          </w:p>
          <w:p w14:paraId="1E83A53F" w14:textId="3AF2D3F0" w:rsidR="003063D5" w:rsidRPr="003063D5" w:rsidRDefault="003063D5" w:rsidP="003063D5">
            <w:pPr>
              <w:ind w:firstLineChars="200" w:firstLine="420"/>
              <w:rPr>
                <w:rFonts w:ascii="宋体" w:eastAsia="宋体" w:hAnsi="宋体"/>
                <w:szCs w:val="21"/>
              </w:rPr>
            </w:pPr>
            <w:r w:rsidRPr="003063D5">
              <w:rPr>
                <w:rFonts w:ascii="宋体" w:eastAsia="宋体" w:hAnsi="宋体" w:hint="eastAsia"/>
                <w:szCs w:val="21"/>
              </w:rPr>
              <w:t>光伏产品业务</w:t>
            </w:r>
            <w:r w:rsidRPr="003063D5">
              <w:rPr>
                <w:rFonts w:ascii="宋体" w:eastAsia="宋体" w:hAnsi="宋体"/>
                <w:szCs w:val="21"/>
              </w:rPr>
              <w:t>2024年公司实现组件出货超70GW，2025年一季度出货超15GW，一季度利润</w:t>
            </w:r>
            <w:r w:rsidR="007D13EE">
              <w:rPr>
                <w:rFonts w:ascii="宋体" w:eastAsia="宋体" w:hAnsi="宋体" w:hint="eastAsia"/>
                <w:szCs w:val="21"/>
              </w:rPr>
              <w:t>环比</w:t>
            </w:r>
            <w:r w:rsidRPr="003063D5">
              <w:rPr>
                <w:rFonts w:ascii="宋体" w:eastAsia="宋体" w:hAnsi="宋体"/>
                <w:szCs w:val="21"/>
              </w:rPr>
              <w:t>减亏，毛利率水平持续改善。同时公司拟定了25年整体销售策略，即，在各主要市场都保持头部位置，但不刻意追求市占率</w:t>
            </w:r>
            <w:r w:rsidR="007D13EE">
              <w:rPr>
                <w:rFonts w:ascii="宋体" w:eastAsia="宋体" w:hAnsi="宋体" w:hint="eastAsia"/>
                <w:szCs w:val="21"/>
              </w:rPr>
              <w:t>绝对领先</w:t>
            </w:r>
            <w:r w:rsidRPr="003063D5">
              <w:rPr>
                <w:rFonts w:ascii="宋体" w:eastAsia="宋体" w:hAnsi="宋体"/>
                <w:szCs w:val="21"/>
              </w:rPr>
              <w:t>，在量和盈亏之间做好平衡，并在利润相对好的市场，如欧洲、澳洲等区域保持更大的市占率，计划全年实现70-75GW的出货目标。</w:t>
            </w:r>
          </w:p>
          <w:p w14:paraId="3B6725EC" w14:textId="45AE9A20" w:rsidR="003063D5" w:rsidRPr="003063D5" w:rsidRDefault="003063D5" w:rsidP="003063D5">
            <w:pPr>
              <w:ind w:firstLineChars="200" w:firstLine="420"/>
              <w:rPr>
                <w:rFonts w:ascii="宋体" w:eastAsia="宋体" w:hAnsi="宋体"/>
                <w:szCs w:val="21"/>
              </w:rPr>
            </w:pPr>
            <w:r w:rsidRPr="003063D5">
              <w:rPr>
                <w:rFonts w:ascii="宋体" w:eastAsia="宋体" w:hAnsi="宋体" w:hint="eastAsia"/>
                <w:szCs w:val="21"/>
              </w:rPr>
              <w:t>储能业务方面，</w:t>
            </w:r>
            <w:r w:rsidRPr="003063D5">
              <w:rPr>
                <w:rFonts w:ascii="宋体" w:eastAsia="宋体" w:hAnsi="宋体"/>
                <w:szCs w:val="21"/>
              </w:rPr>
              <w:t>2024年实现出货量4.3GWh。24年4季度出货量近1.8GWh，4季度海外出货占比</w:t>
            </w:r>
            <w:r w:rsidR="00EA1CBB">
              <w:rPr>
                <w:rFonts w:ascii="宋体" w:eastAsia="宋体" w:hAnsi="宋体" w:hint="eastAsia"/>
                <w:szCs w:val="21"/>
              </w:rPr>
              <w:t>持续</w:t>
            </w:r>
            <w:r w:rsidRPr="003063D5">
              <w:rPr>
                <w:rFonts w:ascii="宋体" w:eastAsia="宋体" w:hAnsi="宋体"/>
                <w:szCs w:val="21"/>
              </w:rPr>
              <w:t>提升</w:t>
            </w:r>
            <w:r w:rsidR="00EA1CBB">
              <w:rPr>
                <w:rFonts w:ascii="宋体" w:eastAsia="宋体" w:hAnsi="宋体"/>
                <w:szCs w:val="21"/>
              </w:rPr>
              <w:t>（主要是欧洲区）</w:t>
            </w:r>
            <w:r w:rsidRPr="003063D5">
              <w:rPr>
                <w:rFonts w:ascii="宋体" w:eastAsia="宋体" w:hAnsi="宋体"/>
                <w:szCs w:val="21"/>
              </w:rPr>
              <w:t>，持续减亏。同时，公司规划了2025年出货量和营收依旧要保持100%以上增长（即全年8-10GWh的出货目标），尤其在海外市场将聚焦大客户与光储融合客户，目前签单量已超5GWh，相比24年海外出货量将形成数倍增长。</w:t>
            </w:r>
          </w:p>
          <w:p w14:paraId="7F26A5DF" w14:textId="7A483262" w:rsidR="003063D5" w:rsidRPr="003063D5" w:rsidRDefault="003063D5" w:rsidP="003063D5">
            <w:pPr>
              <w:ind w:firstLineChars="200" w:firstLine="420"/>
              <w:rPr>
                <w:rFonts w:ascii="宋体" w:eastAsia="宋体" w:hAnsi="宋体"/>
                <w:szCs w:val="21"/>
              </w:rPr>
            </w:pPr>
            <w:r w:rsidRPr="003063D5">
              <w:rPr>
                <w:rFonts w:ascii="宋体" w:eastAsia="宋体" w:hAnsi="宋体" w:hint="eastAsia"/>
                <w:szCs w:val="21"/>
              </w:rPr>
              <w:t>关于公司重点发展的系统解决方案及数字能源服务业务，</w:t>
            </w:r>
            <w:r w:rsidRPr="003063D5">
              <w:rPr>
                <w:rFonts w:ascii="宋体" w:eastAsia="宋体" w:hAnsi="宋体"/>
                <w:szCs w:val="21"/>
              </w:rPr>
              <w:t>24年支架、分布式系统、集中式电站、新能源运维及发电业务均实现了正的利润增长。2025年我们也制定了系统解决方案业务与数字能源服务实现业务同比增幅不低于20%的目标，以及未来系统解决方案、数字能源服务的营收和盈利占到公司营收的50%以上的目标。</w:t>
            </w:r>
          </w:p>
          <w:p w14:paraId="09A6E879" w14:textId="08B665BC" w:rsidR="002060EB" w:rsidRPr="006F2D4D" w:rsidRDefault="003063D5" w:rsidP="003063D5">
            <w:pPr>
              <w:ind w:firstLineChars="200" w:firstLine="420"/>
              <w:rPr>
                <w:rFonts w:ascii="宋体" w:eastAsia="宋体" w:hAnsi="宋体"/>
                <w:szCs w:val="21"/>
              </w:rPr>
            </w:pPr>
            <w:r w:rsidRPr="003063D5">
              <w:rPr>
                <w:rFonts w:ascii="宋体" w:eastAsia="宋体" w:hAnsi="宋体" w:hint="eastAsia"/>
                <w:szCs w:val="21"/>
              </w:rPr>
              <w:t>同时，公司也在技术研发方面积极布局，今年</w:t>
            </w:r>
            <w:r w:rsidRPr="003063D5">
              <w:rPr>
                <w:rFonts w:ascii="宋体" w:eastAsia="宋体" w:hAnsi="宋体"/>
                <w:szCs w:val="21"/>
              </w:rPr>
              <w:t>3月，公司研发的钙钛矿/晶体硅两端叠层组件产品峰值功率达808W，成为全球首块功率突破800W门槛的工业标准尺寸光伏组件产品，创造了新的世界纪录，在钙钛矿/晶体硅叠层技术领域具有划时代意义。今年4月，公司钙钛矿晶体硅叠层技术再破纪录，自主研发的210mm大面积钙钛矿/晶体硅两端叠层太阳电池，经第三方独立认证，最高电池效率达到31.1%，不仅创造了大面积叠层太阳电池效率新的世界纪录，而且首次在210mm工业级电池尺寸上实现超过31%的电池效率。公司还与牛津光伏达成独家专</w:t>
            </w:r>
            <w:r w:rsidRPr="003063D5">
              <w:rPr>
                <w:rFonts w:ascii="宋体" w:eastAsia="宋体" w:hAnsi="宋体" w:hint="eastAsia"/>
                <w:szCs w:val="21"/>
              </w:rPr>
              <w:t>利许可协议，后续将发挥自身在全球的品牌渠道优势、产业内的制造管理优势和行业领军企业的综合经营管理优势，与牛津光伏的前沿技术相结合，真正实现科技创新与产业创新的深度融合，持续引领行业发展。</w:t>
            </w:r>
          </w:p>
          <w:p w14:paraId="61B7F25A" w14:textId="77777777" w:rsidR="002060EB" w:rsidRDefault="002060EB" w:rsidP="00EA1CBB">
            <w:pPr>
              <w:spacing w:line="360" w:lineRule="auto"/>
              <w:rPr>
                <w:rFonts w:ascii="宋体" w:eastAsia="宋体" w:hAnsi="宋体"/>
                <w:b/>
                <w:bCs/>
                <w:szCs w:val="21"/>
              </w:rPr>
            </w:pPr>
            <w:r>
              <w:rPr>
                <w:rFonts w:ascii="宋体" w:eastAsia="宋体" w:hAnsi="宋体" w:hint="eastAsia"/>
                <w:b/>
                <w:bCs/>
                <w:szCs w:val="21"/>
              </w:rPr>
              <w:t>二、交流问答环节</w:t>
            </w:r>
          </w:p>
          <w:p w14:paraId="74E4BE9A" w14:textId="13637066" w:rsidR="003063D5" w:rsidRPr="003063D5" w:rsidRDefault="003063D5" w:rsidP="003063D5">
            <w:pPr>
              <w:pStyle w:val="10"/>
              <w:ind w:firstLineChars="0" w:firstLine="0"/>
              <w:rPr>
                <w:rFonts w:ascii="宋体" w:eastAsia="宋体" w:hAnsi="宋体"/>
                <w:b/>
                <w:szCs w:val="21"/>
              </w:rPr>
            </w:pPr>
            <w:r w:rsidRPr="003063D5">
              <w:rPr>
                <w:rFonts w:ascii="宋体" w:eastAsia="宋体" w:hAnsi="宋体"/>
                <w:b/>
                <w:szCs w:val="21"/>
              </w:rPr>
              <w:t>1、大家比较关心美国关税的问题，</w:t>
            </w:r>
            <w:r w:rsidR="0031322F">
              <w:rPr>
                <w:rFonts w:ascii="宋体" w:eastAsia="宋体" w:hAnsi="宋体" w:hint="eastAsia"/>
                <w:b/>
                <w:szCs w:val="21"/>
              </w:rPr>
              <w:t>以及</w:t>
            </w:r>
            <w:r w:rsidRPr="003063D5">
              <w:rPr>
                <w:rFonts w:ascii="宋体" w:eastAsia="宋体" w:hAnsi="宋体"/>
                <w:b/>
                <w:szCs w:val="21"/>
              </w:rPr>
              <w:t xml:space="preserve">美国的产能布局、印尼的产能是否会受到影响？ </w:t>
            </w:r>
          </w:p>
          <w:p w14:paraId="5CAB3206" w14:textId="67868DC5" w:rsidR="003063D5" w:rsidRPr="003063D5" w:rsidRDefault="003063D5" w:rsidP="003063D5">
            <w:pPr>
              <w:pStyle w:val="10"/>
              <w:rPr>
                <w:rFonts w:ascii="宋体" w:eastAsia="宋体" w:hAnsi="宋体"/>
                <w:szCs w:val="21"/>
              </w:rPr>
            </w:pPr>
            <w:r w:rsidRPr="003063D5">
              <w:rPr>
                <w:rFonts w:ascii="宋体" w:eastAsia="宋体" w:hAnsi="宋体" w:hint="eastAsia"/>
                <w:szCs w:val="21"/>
              </w:rPr>
              <w:lastRenderedPageBreak/>
              <w:t>美国市场今年受美国政府关税影响，存在经营上的不确定性。目前看双反税率普遍较高，对等关税也带来不</w:t>
            </w:r>
            <w:r w:rsidR="00C36862">
              <w:rPr>
                <w:rFonts w:ascii="宋体" w:eastAsia="宋体" w:hAnsi="宋体" w:hint="eastAsia"/>
                <w:szCs w:val="21"/>
              </w:rPr>
              <w:t>确定性。一方面，我们会更紧密的追踪美国政策变化，灵活调整出货量。</w:t>
            </w:r>
            <w:r w:rsidR="00C36862" w:rsidRPr="003063D5">
              <w:rPr>
                <w:rFonts w:ascii="宋体" w:eastAsia="宋体" w:hAnsi="宋体"/>
                <w:szCs w:val="21"/>
              </w:rPr>
              <w:t xml:space="preserve"> </w:t>
            </w:r>
          </w:p>
          <w:p w14:paraId="6D597990" w14:textId="1B26BC98" w:rsidR="003063D5" w:rsidRPr="003063D5" w:rsidRDefault="003063D5" w:rsidP="00C36862">
            <w:pPr>
              <w:pStyle w:val="10"/>
              <w:rPr>
                <w:rFonts w:ascii="宋体" w:eastAsia="宋体" w:hAnsi="宋体"/>
                <w:szCs w:val="21"/>
              </w:rPr>
            </w:pPr>
            <w:r w:rsidRPr="003063D5">
              <w:rPr>
                <w:rFonts w:ascii="宋体" w:eastAsia="宋体" w:hAnsi="宋体" w:hint="eastAsia"/>
                <w:szCs w:val="21"/>
              </w:rPr>
              <w:t>另一方面，公司在印尼的</w:t>
            </w:r>
            <w:r w:rsidRPr="003063D5">
              <w:rPr>
                <w:rFonts w:ascii="宋体" w:eastAsia="宋体" w:hAnsi="宋体"/>
                <w:szCs w:val="21"/>
              </w:rPr>
              <w:t>TOPCon电池组件工厂（目前年产能1GW）不受东南亚四国“双反”的影响，在近期新增“对等税率”中印尼的税率目前看也相对较低，所以尽管美国市场面临不确定性，但公司的印尼工厂具备确定性的相对竞争优势。</w:t>
            </w:r>
            <w:r w:rsidRPr="003063D5">
              <w:rPr>
                <w:rFonts w:ascii="宋体" w:eastAsia="宋体" w:hAnsi="宋体" w:hint="eastAsia"/>
                <w:szCs w:val="21"/>
              </w:rPr>
              <w:t>我们也将充分利用好我们在美国的本地制造合作伙伴的资源，力争利润结果最大化。</w:t>
            </w:r>
          </w:p>
          <w:p w14:paraId="06711FC5" w14:textId="5EC42E01" w:rsidR="003063D5" w:rsidRPr="003063D5" w:rsidRDefault="003063D5" w:rsidP="003063D5">
            <w:pPr>
              <w:pStyle w:val="10"/>
              <w:rPr>
                <w:rFonts w:ascii="宋体" w:eastAsia="宋体" w:hAnsi="宋体"/>
                <w:szCs w:val="21"/>
              </w:rPr>
            </w:pPr>
            <w:r w:rsidRPr="003063D5">
              <w:rPr>
                <w:rFonts w:ascii="宋体" w:eastAsia="宋体" w:hAnsi="宋体" w:hint="eastAsia"/>
                <w:szCs w:val="21"/>
              </w:rPr>
              <w:t>综合来看，我们认为具备更强前瞻战略研判和全球化经营能力的企业能够相对更好应对。</w:t>
            </w:r>
          </w:p>
          <w:p w14:paraId="3CDC8BED" w14:textId="77777777" w:rsidR="003063D5" w:rsidRPr="003063D5" w:rsidRDefault="003063D5" w:rsidP="003063D5">
            <w:pPr>
              <w:pStyle w:val="10"/>
              <w:rPr>
                <w:rFonts w:ascii="宋体" w:eastAsia="宋体" w:hAnsi="宋体"/>
                <w:szCs w:val="21"/>
              </w:rPr>
            </w:pPr>
          </w:p>
          <w:p w14:paraId="73F0E83F" w14:textId="77777777" w:rsidR="003063D5" w:rsidRPr="003063D5" w:rsidRDefault="003063D5" w:rsidP="003063D5">
            <w:pPr>
              <w:pStyle w:val="10"/>
              <w:ind w:firstLineChars="0" w:firstLine="0"/>
              <w:rPr>
                <w:rFonts w:ascii="宋体" w:eastAsia="宋体" w:hAnsi="宋体"/>
                <w:b/>
                <w:szCs w:val="21"/>
              </w:rPr>
            </w:pPr>
            <w:r w:rsidRPr="003063D5">
              <w:rPr>
                <w:rFonts w:ascii="宋体" w:eastAsia="宋体" w:hAnsi="宋体"/>
                <w:b/>
                <w:szCs w:val="21"/>
              </w:rPr>
              <w:t>2、行业仍处于压力比较大的状态，当前公司的长期负债结构、资本开支计划如何？</w:t>
            </w:r>
          </w:p>
          <w:p w14:paraId="7C0AC154" w14:textId="216CC9B9" w:rsidR="003063D5" w:rsidRPr="003063D5" w:rsidRDefault="007C653D" w:rsidP="003063D5">
            <w:pPr>
              <w:pStyle w:val="10"/>
              <w:rPr>
                <w:rFonts w:ascii="宋体" w:eastAsia="宋体" w:hAnsi="宋体"/>
                <w:szCs w:val="21"/>
              </w:rPr>
            </w:pPr>
            <w:r>
              <w:rPr>
                <w:rFonts w:ascii="宋体" w:eastAsia="宋体" w:hAnsi="宋体" w:hint="eastAsia"/>
                <w:szCs w:val="21"/>
              </w:rPr>
              <w:t>公司</w:t>
            </w:r>
            <w:r>
              <w:rPr>
                <w:rFonts w:ascii="宋体" w:eastAsia="宋体" w:hAnsi="宋体"/>
                <w:szCs w:val="21"/>
              </w:rPr>
              <w:t>订单</w:t>
            </w:r>
            <w:r w:rsidR="003063D5" w:rsidRPr="003063D5">
              <w:rPr>
                <w:rFonts w:ascii="宋体" w:eastAsia="宋体" w:hAnsi="宋体"/>
                <w:szCs w:val="21"/>
              </w:rPr>
              <w:t>以现金流为本来应对行业压力，24年的经营性现金流80亿元仍保持较好水平。25年一季度现金流也同比有较大的改善。长期负债当前在有息负债占比处于较好的结构状态，25年也没有规模性的资本开支计划，会保持较好的现金流水平。</w:t>
            </w:r>
          </w:p>
          <w:p w14:paraId="43A7AAE0" w14:textId="77777777" w:rsidR="003063D5" w:rsidRPr="003063D5" w:rsidRDefault="003063D5" w:rsidP="003063D5">
            <w:pPr>
              <w:pStyle w:val="10"/>
              <w:ind w:firstLineChars="0" w:firstLine="0"/>
              <w:rPr>
                <w:rFonts w:ascii="宋体" w:eastAsia="宋体" w:hAnsi="宋体"/>
                <w:szCs w:val="21"/>
              </w:rPr>
            </w:pPr>
          </w:p>
          <w:p w14:paraId="12533ADB" w14:textId="77777777" w:rsidR="003063D5" w:rsidRPr="003063D5" w:rsidRDefault="003063D5" w:rsidP="003063D5">
            <w:pPr>
              <w:pStyle w:val="10"/>
              <w:ind w:firstLineChars="0" w:firstLine="0"/>
              <w:jc w:val="left"/>
              <w:rPr>
                <w:rFonts w:ascii="宋体" w:eastAsia="宋体" w:hAnsi="宋体"/>
                <w:b/>
                <w:szCs w:val="21"/>
              </w:rPr>
            </w:pPr>
            <w:r w:rsidRPr="003063D5">
              <w:rPr>
                <w:rFonts w:ascii="宋体" w:eastAsia="宋体" w:hAnsi="宋体"/>
                <w:b/>
                <w:szCs w:val="21"/>
              </w:rPr>
              <w:t>3、在资本开支控制的情况下，新技术的布局如何？</w:t>
            </w:r>
          </w:p>
          <w:p w14:paraId="1E05911E" w14:textId="678F948B" w:rsidR="003063D5" w:rsidRPr="003063D5" w:rsidRDefault="003063D5" w:rsidP="003063D5">
            <w:pPr>
              <w:pStyle w:val="10"/>
              <w:rPr>
                <w:rFonts w:ascii="宋体" w:eastAsia="宋体" w:hAnsi="宋体"/>
                <w:szCs w:val="21"/>
              </w:rPr>
            </w:pPr>
            <w:r>
              <w:rPr>
                <w:rFonts w:ascii="宋体" w:eastAsia="宋体" w:hAnsi="宋体" w:hint="eastAsia"/>
                <w:szCs w:val="21"/>
              </w:rPr>
              <w:t>我们</w:t>
            </w:r>
            <w:r w:rsidRPr="003063D5">
              <w:rPr>
                <w:rFonts w:ascii="宋体" w:eastAsia="宋体" w:hAnsi="宋体"/>
                <w:szCs w:val="21"/>
              </w:rPr>
              <w:t>目前认为技术格局呈现一主两辅的局面，TOPCon为主，BC和HJT技术为辅。</w:t>
            </w:r>
            <w:r>
              <w:rPr>
                <w:rFonts w:ascii="宋体" w:eastAsia="宋体" w:hAnsi="宋体" w:hint="eastAsia"/>
                <w:szCs w:val="21"/>
              </w:rPr>
              <w:t>天合</w:t>
            </w:r>
            <w:r w:rsidRPr="003063D5">
              <w:rPr>
                <w:rFonts w:ascii="宋体" w:eastAsia="宋体" w:hAnsi="宋体"/>
                <w:szCs w:val="21"/>
              </w:rPr>
              <w:t>TOPCon 2.0将在25年6月投产，</w:t>
            </w:r>
            <w:r>
              <w:rPr>
                <w:rFonts w:ascii="宋体" w:eastAsia="宋体" w:hAnsi="宋体" w:hint="eastAsia"/>
                <w:szCs w:val="21"/>
              </w:rPr>
              <w:t>同时</w:t>
            </w:r>
            <w:r w:rsidRPr="003063D5">
              <w:rPr>
                <w:rFonts w:ascii="宋体" w:eastAsia="宋体" w:hAnsi="宋体"/>
                <w:szCs w:val="21"/>
              </w:rPr>
              <w:t>TOPCon 3.0已经具备技术能力，后续将在市场需求合适的情况下投产。TBC已经有较好的效率，HJT也已经具备产业化的能力。各种晶体硅电池的效率差距在0.5</w:t>
            </w:r>
            <w:r>
              <w:rPr>
                <w:rFonts w:ascii="宋体" w:eastAsia="宋体" w:hAnsi="宋体" w:hint="eastAsia"/>
                <w:szCs w:val="21"/>
              </w:rPr>
              <w:t>%</w:t>
            </w:r>
            <w:r w:rsidRPr="003063D5">
              <w:rPr>
                <w:rFonts w:ascii="宋体" w:eastAsia="宋体" w:hAnsi="宋体"/>
                <w:szCs w:val="21"/>
              </w:rPr>
              <w:t>以内，要形成技术迭代必须要在2</w:t>
            </w:r>
            <w:r>
              <w:rPr>
                <w:rFonts w:ascii="宋体" w:eastAsia="宋体" w:hAnsi="宋体" w:hint="eastAsia"/>
                <w:szCs w:val="21"/>
              </w:rPr>
              <w:t>%</w:t>
            </w:r>
            <w:r w:rsidRPr="003063D5">
              <w:rPr>
                <w:rFonts w:ascii="宋体" w:eastAsia="宋体" w:hAnsi="宋体"/>
                <w:szCs w:val="21"/>
              </w:rPr>
              <w:t>以上，所以我们判断是一主两辅的局面。</w:t>
            </w:r>
          </w:p>
          <w:p w14:paraId="4303DF5B" w14:textId="5B053920" w:rsidR="003063D5" w:rsidRPr="003063D5" w:rsidRDefault="003063D5" w:rsidP="003063D5">
            <w:pPr>
              <w:pStyle w:val="10"/>
              <w:rPr>
                <w:rFonts w:ascii="宋体" w:eastAsia="宋体" w:hAnsi="宋体"/>
                <w:szCs w:val="21"/>
              </w:rPr>
            </w:pPr>
            <w:r w:rsidRPr="003063D5">
              <w:rPr>
                <w:rFonts w:ascii="宋体" w:eastAsia="宋体" w:hAnsi="宋体" w:hint="eastAsia"/>
                <w:szCs w:val="21"/>
              </w:rPr>
              <w:t>我们认为晶体硅钙钛矿叠层电池技术是未来的主流，</w:t>
            </w:r>
            <w:r>
              <w:rPr>
                <w:rFonts w:ascii="宋体" w:eastAsia="宋体" w:hAnsi="宋体" w:hint="eastAsia"/>
                <w:szCs w:val="21"/>
              </w:rPr>
              <w:t>并进</w:t>
            </w:r>
            <w:r w:rsidR="009904E6">
              <w:rPr>
                <w:rFonts w:ascii="宋体" w:eastAsia="宋体" w:hAnsi="宋体" w:hint="eastAsia"/>
                <w:szCs w:val="21"/>
              </w:rPr>
              <w:t>行</w:t>
            </w:r>
            <w:r>
              <w:rPr>
                <w:rFonts w:ascii="宋体" w:eastAsia="宋体" w:hAnsi="宋体" w:hint="eastAsia"/>
                <w:szCs w:val="21"/>
              </w:rPr>
              <w:t>了</w:t>
            </w:r>
            <w:r w:rsidRPr="003063D5">
              <w:rPr>
                <w:rFonts w:ascii="宋体" w:eastAsia="宋体" w:hAnsi="宋体" w:hint="eastAsia"/>
                <w:szCs w:val="21"/>
              </w:rPr>
              <w:t>较多的布局。公司自主研发的</w:t>
            </w:r>
            <w:r w:rsidRPr="003063D5">
              <w:rPr>
                <w:rFonts w:ascii="宋体" w:eastAsia="宋体" w:hAnsi="宋体"/>
                <w:szCs w:val="21"/>
              </w:rPr>
              <w:t>210mm大面积钙钛矿/晶体硅两端叠层太阳电池，经第三方独立认证，最高电池效率达到31.1%</w:t>
            </w:r>
            <w:r>
              <w:rPr>
                <w:rFonts w:ascii="宋体" w:eastAsia="宋体" w:hAnsi="宋体" w:hint="eastAsia"/>
                <w:szCs w:val="21"/>
              </w:rPr>
              <w:t>；自主</w:t>
            </w:r>
            <w:r w:rsidRPr="003063D5">
              <w:rPr>
                <w:rFonts w:ascii="宋体" w:eastAsia="宋体" w:hAnsi="宋体" w:hint="eastAsia"/>
                <w:szCs w:val="21"/>
              </w:rPr>
              <w:t>研发的钙钛矿</w:t>
            </w:r>
            <w:r w:rsidRPr="003063D5">
              <w:rPr>
                <w:rFonts w:ascii="宋体" w:eastAsia="宋体" w:hAnsi="宋体"/>
                <w:szCs w:val="21"/>
              </w:rPr>
              <w:t>/晶体硅两端叠层组件产品峰值功率达808W</w:t>
            </w:r>
            <w:r>
              <w:rPr>
                <w:rFonts w:ascii="宋体" w:eastAsia="宋体" w:hAnsi="宋体" w:hint="eastAsia"/>
                <w:szCs w:val="21"/>
              </w:rPr>
              <w:t>，</w:t>
            </w:r>
            <w:r>
              <w:rPr>
                <w:rFonts w:ascii="宋体" w:eastAsia="宋体" w:hAnsi="宋体"/>
                <w:szCs w:val="21"/>
              </w:rPr>
              <w:t>在</w:t>
            </w:r>
            <w:r w:rsidR="007261B5">
              <w:rPr>
                <w:rFonts w:ascii="宋体" w:eastAsia="宋体" w:hAnsi="宋体" w:hint="eastAsia"/>
                <w:szCs w:val="21"/>
              </w:rPr>
              <w:t>此</w:t>
            </w:r>
            <w:r>
              <w:rPr>
                <w:rFonts w:ascii="宋体" w:eastAsia="宋体" w:hAnsi="宋体" w:hint="eastAsia"/>
                <w:szCs w:val="21"/>
              </w:rPr>
              <w:t>基础上</w:t>
            </w:r>
            <w:r w:rsidRPr="003063D5">
              <w:rPr>
                <w:rFonts w:ascii="宋体" w:eastAsia="宋体" w:hAnsi="宋体"/>
                <w:szCs w:val="21"/>
              </w:rPr>
              <w:t>做了整体生态的布局。今年我们将建设中试线。</w:t>
            </w:r>
            <w:r w:rsidRPr="003063D5">
              <w:rPr>
                <w:rFonts w:ascii="宋体" w:eastAsia="宋体" w:hAnsi="宋体" w:hint="eastAsia"/>
                <w:szCs w:val="21"/>
              </w:rPr>
              <w:t>公司还与牛津光伏达成独家专利许可协议，后续将发挥自身在全球的品牌渠道优势、产业内的制造管理优势和行业领军企业的综合经营管理优势，与牛津光伏的前沿技术相结合，真正实现科技创新与产业创新的深度融合，持续引领行业发展。</w:t>
            </w:r>
          </w:p>
          <w:p w14:paraId="5DB61A94" w14:textId="77777777" w:rsidR="003063D5" w:rsidRPr="003063D5" w:rsidRDefault="003063D5" w:rsidP="003063D5">
            <w:pPr>
              <w:pStyle w:val="10"/>
              <w:ind w:firstLineChars="0" w:firstLine="0"/>
              <w:rPr>
                <w:rFonts w:ascii="宋体" w:eastAsia="宋体" w:hAnsi="宋体"/>
                <w:szCs w:val="21"/>
              </w:rPr>
            </w:pPr>
          </w:p>
          <w:p w14:paraId="2E2676C2" w14:textId="16719E82" w:rsidR="003063D5" w:rsidRPr="003063D5" w:rsidRDefault="003063D5" w:rsidP="003063D5">
            <w:pPr>
              <w:pStyle w:val="10"/>
              <w:ind w:firstLineChars="0" w:firstLine="0"/>
              <w:jc w:val="left"/>
              <w:rPr>
                <w:rFonts w:ascii="宋体" w:eastAsia="宋体" w:hAnsi="宋体"/>
                <w:b/>
                <w:szCs w:val="21"/>
              </w:rPr>
            </w:pPr>
            <w:r w:rsidRPr="003063D5">
              <w:rPr>
                <w:rFonts w:ascii="宋体" w:eastAsia="宋体" w:hAnsi="宋体"/>
                <w:b/>
                <w:szCs w:val="21"/>
              </w:rPr>
              <w:t>4</w:t>
            </w:r>
            <w:r>
              <w:rPr>
                <w:rFonts w:ascii="宋体" w:eastAsia="宋体" w:hAnsi="宋体"/>
                <w:b/>
                <w:szCs w:val="21"/>
              </w:rPr>
              <w:t>、对</w:t>
            </w:r>
            <w:r w:rsidR="000C1419">
              <w:rPr>
                <w:rFonts w:ascii="宋体" w:eastAsia="宋体" w:hAnsi="宋体" w:hint="eastAsia"/>
                <w:b/>
                <w:szCs w:val="21"/>
              </w:rPr>
              <w:t>光伏</w:t>
            </w:r>
            <w:r>
              <w:rPr>
                <w:rFonts w:ascii="宋体" w:eastAsia="宋体" w:hAnsi="宋体"/>
                <w:b/>
                <w:szCs w:val="21"/>
              </w:rPr>
              <w:t>全球</w:t>
            </w:r>
            <w:r w:rsidR="000C1419">
              <w:rPr>
                <w:rFonts w:ascii="宋体" w:eastAsia="宋体" w:hAnsi="宋体" w:hint="eastAsia"/>
                <w:b/>
                <w:szCs w:val="21"/>
              </w:rPr>
              <w:t>市场</w:t>
            </w:r>
            <w:r w:rsidR="000C1419">
              <w:rPr>
                <w:rFonts w:ascii="宋体" w:eastAsia="宋体" w:hAnsi="宋体"/>
                <w:b/>
                <w:szCs w:val="21"/>
              </w:rPr>
              <w:t>需求的判断</w:t>
            </w:r>
            <w:r w:rsidRPr="003063D5">
              <w:rPr>
                <w:rFonts w:ascii="宋体" w:eastAsia="宋体" w:hAnsi="宋体"/>
                <w:b/>
                <w:szCs w:val="21"/>
              </w:rPr>
              <w:t>？</w:t>
            </w:r>
            <w:r w:rsidR="00176B2E" w:rsidRPr="003063D5">
              <w:rPr>
                <w:rFonts w:ascii="宋体" w:eastAsia="宋体" w:hAnsi="宋体"/>
                <w:b/>
                <w:szCs w:val="21"/>
              </w:rPr>
              <w:t xml:space="preserve"> </w:t>
            </w:r>
          </w:p>
          <w:p w14:paraId="5D02BEBA" w14:textId="551EB7EF" w:rsidR="003063D5" w:rsidRDefault="003063D5" w:rsidP="003063D5">
            <w:pPr>
              <w:pStyle w:val="10"/>
              <w:rPr>
                <w:rFonts w:ascii="宋体" w:eastAsia="宋体" w:hAnsi="宋体"/>
                <w:szCs w:val="21"/>
              </w:rPr>
            </w:pPr>
            <w:r w:rsidRPr="003063D5">
              <w:rPr>
                <w:rFonts w:ascii="宋体" w:eastAsia="宋体" w:hAnsi="宋体"/>
                <w:szCs w:val="21"/>
              </w:rPr>
              <w:t>25年全球的</w:t>
            </w:r>
            <w:r w:rsidR="00176B2E">
              <w:rPr>
                <w:rFonts w:ascii="宋体" w:eastAsia="宋体" w:hAnsi="宋体" w:hint="eastAsia"/>
                <w:szCs w:val="21"/>
              </w:rPr>
              <w:t>市场</w:t>
            </w:r>
            <w:r w:rsidRPr="003063D5">
              <w:rPr>
                <w:rFonts w:ascii="宋体" w:eastAsia="宋体" w:hAnsi="宋体"/>
                <w:szCs w:val="21"/>
              </w:rPr>
              <w:t>需求</w:t>
            </w:r>
            <w:r w:rsidR="00176B2E">
              <w:rPr>
                <w:rFonts w:ascii="宋体" w:eastAsia="宋体" w:hAnsi="宋体" w:hint="eastAsia"/>
                <w:szCs w:val="21"/>
              </w:rPr>
              <w:t>预计</w:t>
            </w:r>
            <w:r w:rsidR="00176B2E">
              <w:rPr>
                <w:rFonts w:ascii="宋体" w:eastAsia="宋体" w:hAnsi="宋体"/>
                <w:szCs w:val="21"/>
              </w:rPr>
              <w:t>还</w:t>
            </w:r>
            <w:r w:rsidR="00176B2E">
              <w:rPr>
                <w:rFonts w:ascii="宋体" w:eastAsia="宋体" w:hAnsi="宋体" w:hint="eastAsia"/>
                <w:szCs w:val="21"/>
              </w:rPr>
              <w:t>会</w:t>
            </w:r>
            <w:r w:rsidRPr="003063D5">
              <w:rPr>
                <w:rFonts w:ascii="宋体" w:eastAsia="宋体" w:hAnsi="宋体"/>
                <w:szCs w:val="21"/>
              </w:rPr>
              <w:t>保持一定的增幅，</w:t>
            </w:r>
            <w:r w:rsidR="00176B2E" w:rsidRPr="00176B2E">
              <w:rPr>
                <w:rFonts w:ascii="宋体" w:eastAsia="宋体" w:hAnsi="宋体" w:hint="eastAsia"/>
                <w:szCs w:val="21"/>
              </w:rPr>
              <w:t>新兴市场</w:t>
            </w:r>
            <w:r w:rsidR="00176B2E">
              <w:rPr>
                <w:rFonts w:ascii="宋体" w:eastAsia="宋体" w:hAnsi="宋体" w:hint="eastAsia"/>
                <w:szCs w:val="21"/>
              </w:rPr>
              <w:t>预计</w:t>
            </w:r>
            <w:r w:rsidR="00176B2E" w:rsidRPr="00176B2E">
              <w:rPr>
                <w:rFonts w:ascii="宋体" w:eastAsia="宋体" w:hAnsi="宋体" w:hint="eastAsia"/>
                <w:szCs w:val="21"/>
              </w:rPr>
              <w:t>增速较快，中东非预计有</w:t>
            </w:r>
            <w:r w:rsidR="00176B2E" w:rsidRPr="00176B2E">
              <w:rPr>
                <w:rFonts w:ascii="宋体" w:eastAsia="宋体" w:hAnsi="宋体"/>
                <w:szCs w:val="21"/>
              </w:rPr>
              <w:t>30%以上的增速，亚太</w:t>
            </w:r>
            <w:r w:rsidR="00176B2E">
              <w:rPr>
                <w:rFonts w:ascii="宋体" w:eastAsia="宋体" w:hAnsi="宋体" w:hint="eastAsia"/>
                <w:szCs w:val="21"/>
              </w:rPr>
              <w:t>预计</w:t>
            </w:r>
            <w:r w:rsidR="00176B2E" w:rsidRPr="00176B2E">
              <w:rPr>
                <w:rFonts w:ascii="宋体" w:eastAsia="宋体" w:hAnsi="宋体"/>
                <w:szCs w:val="21"/>
              </w:rPr>
              <w:t>也有两位数的增速，中国</w:t>
            </w:r>
            <w:r w:rsidR="00176B2E">
              <w:rPr>
                <w:rFonts w:ascii="宋体" w:eastAsia="宋体" w:hAnsi="宋体" w:hint="eastAsia"/>
                <w:szCs w:val="21"/>
              </w:rPr>
              <w:t>预计</w:t>
            </w:r>
            <w:r w:rsidR="00176B2E" w:rsidRPr="00176B2E">
              <w:rPr>
                <w:rFonts w:ascii="宋体" w:eastAsia="宋体" w:hAnsi="宋体"/>
                <w:szCs w:val="21"/>
              </w:rPr>
              <w:t>也有正的增速，美国主要受税率影响，还有待观望。</w:t>
            </w:r>
          </w:p>
          <w:p w14:paraId="4574F20C" w14:textId="77777777" w:rsidR="00176B2E" w:rsidRPr="003063D5" w:rsidRDefault="00176B2E" w:rsidP="00176B2E">
            <w:pPr>
              <w:pStyle w:val="10"/>
              <w:ind w:firstLineChars="0" w:firstLine="0"/>
              <w:rPr>
                <w:rFonts w:ascii="宋体" w:eastAsia="宋体" w:hAnsi="宋体"/>
                <w:szCs w:val="21"/>
              </w:rPr>
            </w:pPr>
          </w:p>
          <w:p w14:paraId="4D5BCBEC" w14:textId="35F2E5CA" w:rsidR="003063D5" w:rsidRPr="00176B2E" w:rsidRDefault="003063D5" w:rsidP="00176B2E">
            <w:pPr>
              <w:pStyle w:val="10"/>
              <w:ind w:firstLineChars="0" w:firstLine="0"/>
              <w:rPr>
                <w:rFonts w:ascii="宋体" w:eastAsia="宋体" w:hAnsi="宋体"/>
                <w:b/>
                <w:szCs w:val="21"/>
              </w:rPr>
            </w:pPr>
            <w:r w:rsidRPr="00176B2E">
              <w:rPr>
                <w:rFonts w:ascii="宋体" w:eastAsia="宋体" w:hAnsi="宋体"/>
                <w:b/>
                <w:szCs w:val="21"/>
              </w:rPr>
              <w:t>5、</w:t>
            </w:r>
            <w:r w:rsidR="000C1419">
              <w:rPr>
                <w:rFonts w:ascii="宋体" w:eastAsia="宋体" w:hAnsi="宋体" w:hint="eastAsia"/>
                <w:b/>
                <w:szCs w:val="21"/>
              </w:rPr>
              <w:t>看到公司</w:t>
            </w:r>
            <w:r w:rsidRPr="00176B2E">
              <w:rPr>
                <w:rFonts w:ascii="宋体" w:eastAsia="宋体" w:hAnsi="宋体"/>
                <w:b/>
                <w:szCs w:val="21"/>
              </w:rPr>
              <w:t>储能、系统能源解决方案、数字能源服务的增长较快，储能今年</w:t>
            </w:r>
            <w:r w:rsidR="000C1419">
              <w:rPr>
                <w:rFonts w:ascii="宋体" w:eastAsia="宋体" w:hAnsi="宋体" w:hint="eastAsia"/>
                <w:b/>
                <w:szCs w:val="21"/>
              </w:rPr>
              <w:t>经营</w:t>
            </w:r>
            <w:r w:rsidRPr="00176B2E">
              <w:rPr>
                <w:rFonts w:ascii="宋体" w:eastAsia="宋体" w:hAnsi="宋体"/>
                <w:b/>
                <w:szCs w:val="21"/>
              </w:rPr>
              <w:t>情况如何？储能的海外订单主要分布在哪些市场？</w:t>
            </w:r>
            <w:r w:rsidR="00176B2E">
              <w:rPr>
                <w:rFonts w:ascii="宋体" w:eastAsia="宋体" w:hAnsi="宋体" w:hint="eastAsia"/>
                <w:b/>
                <w:szCs w:val="21"/>
              </w:rPr>
              <w:t>看到公司年报中提到</w:t>
            </w:r>
            <w:r w:rsidRPr="00176B2E">
              <w:rPr>
                <w:rFonts w:ascii="宋体" w:eastAsia="宋体" w:hAnsi="宋体"/>
                <w:b/>
                <w:szCs w:val="21"/>
              </w:rPr>
              <w:t>数字能源这块的增长目标不低于20%，这块在国内户用分布式政策的影响下是否会影响商业模式和增速？</w:t>
            </w:r>
          </w:p>
          <w:p w14:paraId="55AAFB38" w14:textId="6F85BA46" w:rsidR="003063D5" w:rsidRPr="003063D5" w:rsidRDefault="003063D5" w:rsidP="003063D5">
            <w:pPr>
              <w:pStyle w:val="10"/>
              <w:rPr>
                <w:rFonts w:ascii="宋体" w:eastAsia="宋体" w:hAnsi="宋体"/>
                <w:szCs w:val="21"/>
              </w:rPr>
            </w:pPr>
            <w:r w:rsidRPr="003063D5">
              <w:rPr>
                <w:rFonts w:ascii="宋体" w:eastAsia="宋体" w:hAnsi="宋体"/>
                <w:szCs w:val="21"/>
              </w:rPr>
              <w:t>储能我们25年的目标是</w:t>
            </w:r>
            <w:r w:rsidR="00176B2E">
              <w:rPr>
                <w:rFonts w:ascii="宋体" w:eastAsia="宋体" w:hAnsi="宋体" w:hint="eastAsia"/>
                <w:szCs w:val="21"/>
              </w:rPr>
              <w:t>出货</w:t>
            </w:r>
            <w:r w:rsidR="00176B2E">
              <w:rPr>
                <w:rFonts w:ascii="宋体" w:eastAsia="宋体" w:hAnsi="宋体"/>
                <w:szCs w:val="21"/>
              </w:rPr>
              <w:t>8–</w:t>
            </w:r>
            <w:r w:rsidRPr="003063D5">
              <w:rPr>
                <w:rFonts w:ascii="宋体" w:eastAsia="宋体" w:hAnsi="宋体"/>
                <w:szCs w:val="21"/>
              </w:rPr>
              <w:t>10GWh，相比24年是有翻倍的规划。</w:t>
            </w:r>
            <w:r w:rsidRPr="003063D5">
              <w:rPr>
                <w:rFonts w:ascii="宋体" w:eastAsia="宋体" w:hAnsi="宋体"/>
                <w:szCs w:val="21"/>
              </w:rPr>
              <w:lastRenderedPageBreak/>
              <w:t>从24Q4到25Q1，我们在欧洲区等高毛利</w:t>
            </w:r>
            <w:r w:rsidR="00176B2E">
              <w:rPr>
                <w:rFonts w:ascii="宋体" w:eastAsia="宋体" w:hAnsi="宋体" w:hint="eastAsia"/>
                <w:szCs w:val="21"/>
              </w:rPr>
              <w:t>海外</w:t>
            </w:r>
            <w:r w:rsidR="00176B2E">
              <w:rPr>
                <w:rFonts w:ascii="宋体" w:eastAsia="宋体" w:hAnsi="宋体"/>
                <w:szCs w:val="21"/>
              </w:rPr>
              <w:t>地区出货量占比在不断提升，毛利率</w:t>
            </w:r>
            <w:r w:rsidRPr="003063D5">
              <w:rPr>
                <w:rFonts w:ascii="宋体" w:eastAsia="宋体" w:hAnsi="宋体"/>
                <w:szCs w:val="21"/>
              </w:rPr>
              <w:t>不断提升，</w:t>
            </w:r>
            <w:r w:rsidR="00176B2E">
              <w:rPr>
                <w:rFonts w:ascii="宋体" w:eastAsia="宋体" w:hAnsi="宋体" w:hint="eastAsia"/>
                <w:szCs w:val="21"/>
              </w:rPr>
              <w:t>目前我们海外订单主要分布在欧洲等地，未来</w:t>
            </w:r>
            <w:r w:rsidRPr="003063D5">
              <w:rPr>
                <w:rFonts w:ascii="宋体" w:eastAsia="宋体" w:hAnsi="宋体"/>
                <w:szCs w:val="21"/>
              </w:rPr>
              <w:t>在巩固欧洲</w:t>
            </w:r>
            <w:r w:rsidR="00176B2E">
              <w:rPr>
                <w:rFonts w:ascii="宋体" w:eastAsia="宋体" w:hAnsi="宋体" w:hint="eastAsia"/>
                <w:szCs w:val="21"/>
              </w:rPr>
              <w:t>市场</w:t>
            </w:r>
            <w:r w:rsidRPr="003063D5">
              <w:rPr>
                <w:rFonts w:ascii="宋体" w:eastAsia="宋体" w:hAnsi="宋体"/>
                <w:szCs w:val="21"/>
              </w:rPr>
              <w:t>的基础上，</w:t>
            </w:r>
            <w:r w:rsidR="00176B2E">
              <w:rPr>
                <w:rFonts w:ascii="宋体" w:eastAsia="宋体" w:hAnsi="宋体" w:hint="eastAsia"/>
                <w:szCs w:val="21"/>
              </w:rPr>
              <w:t>会</w:t>
            </w:r>
            <w:r w:rsidRPr="003063D5">
              <w:rPr>
                <w:rFonts w:ascii="宋体" w:eastAsia="宋体" w:hAnsi="宋体"/>
                <w:szCs w:val="21"/>
              </w:rPr>
              <w:t>加大美国市场的开拓</w:t>
            </w:r>
            <w:r w:rsidR="00176B2E">
              <w:rPr>
                <w:rFonts w:ascii="宋体" w:eastAsia="宋体" w:hAnsi="宋体" w:hint="eastAsia"/>
                <w:szCs w:val="21"/>
              </w:rPr>
              <w:t>，目前</w:t>
            </w:r>
            <w:r w:rsidRPr="003063D5">
              <w:rPr>
                <w:rFonts w:ascii="宋体" w:eastAsia="宋体" w:hAnsi="宋体"/>
                <w:szCs w:val="21"/>
              </w:rPr>
              <w:t>在美国</w:t>
            </w:r>
            <w:r w:rsidR="00176B2E">
              <w:rPr>
                <w:rFonts w:ascii="宋体" w:eastAsia="宋体" w:hAnsi="宋体" w:hint="eastAsia"/>
                <w:szCs w:val="21"/>
              </w:rPr>
              <w:t>已有储能项目交付</w:t>
            </w:r>
            <w:r w:rsidR="00DE71B1">
              <w:rPr>
                <w:rFonts w:ascii="宋体" w:eastAsia="宋体" w:hAnsi="宋体" w:hint="eastAsia"/>
                <w:szCs w:val="21"/>
              </w:rPr>
              <w:t>，</w:t>
            </w:r>
            <w:r w:rsidRPr="003063D5">
              <w:rPr>
                <w:rFonts w:ascii="宋体" w:eastAsia="宋体" w:hAnsi="宋体"/>
                <w:szCs w:val="21"/>
              </w:rPr>
              <w:t>未来在拉美、亚太市场也会提高我们的储能业务规模。储能是我们重点发展的业务之一。</w:t>
            </w:r>
          </w:p>
          <w:p w14:paraId="1B746F0F" w14:textId="2EB26EA4" w:rsidR="003063D5" w:rsidRPr="003063D5" w:rsidRDefault="003063D5" w:rsidP="003063D5">
            <w:pPr>
              <w:pStyle w:val="10"/>
              <w:rPr>
                <w:rFonts w:ascii="宋体" w:eastAsia="宋体" w:hAnsi="宋体"/>
                <w:szCs w:val="21"/>
              </w:rPr>
            </w:pPr>
            <w:r w:rsidRPr="003063D5">
              <w:rPr>
                <w:rFonts w:ascii="宋体" w:eastAsia="宋体" w:hAnsi="宋体" w:hint="eastAsia"/>
                <w:szCs w:val="21"/>
              </w:rPr>
              <w:t>数字能源板块分两方面来看，一是分布式业务，</w:t>
            </w:r>
            <w:r w:rsidR="00176B2E" w:rsidRPr="00176B2E">
              <w:rPr>
                <w:rFonts w:ascii="宋体" w:eastAsia="宋体" w:hAnsi="宋体" w:hint="eastAsia"/>
                <w:szCs w:val="21"/>
              </w:rPr>
              <w:t>国家发改委、国家能源局发布</w:t>
            </w:r>
            <w:r w:rsidR="00176B2E">
              <w:rPr>
                <w:rFonts w:ascii="宋体" w:eastAsia="宋体" w:hAnsi="宋体" w:hint="eastAsia"/>
                <w:szCs w:val="21"/>
              </w:rPr>
              <w:t>的</w:t>
            </w:r>
            <w:r w:rsidR="00176B2E" w:rsidRPr="00176B2E">
              <w:rPr>
                <w:rFonts w:ascii="宋体" w:eastAsia="宋体" w:hAnsi="宋体" w:hint="eastAsia"/>
                <w:szCs w:val="21"/>
              </w:rPr>
              <w:t>《关于深化新能源上网电价市场化改革</w:t>
            </w:r>
            <w:r w:rsidR="00176B2E" w:rsidRPr="00176B2E">
              <w:rPr>
                <w:rFonts w:ascii="宋体" w:eastAsia="宋体" w:hAnsi="宋体"/>
                <w:szCs w:val="21"/>
              </w:rPr>
              <w:t xml:space="preserve"> 促进新能源高质量发展的通知》(136号文)</w:t>
            </w:r>
            <w:r w:rsidRPr="003063D5">
              <w:rPr>
                <w:rFonts w:ascii="宋体" w:eastAsia="宋体" w:hAnsi="宋体"/>
                <w:szCs w:val="21"/>
              </w:rPr>
              <w:t>的主旨是希望行业各环节回到合理价值链的区间，长期来看是正向的政策文件，会改变整个分布式开发的逻辑，从重开发转向重电站全生命周期的运营，经营逻辑会变得更加复杂，行业门槛也会提升。渠道端高成本开发的模式已经较难维系，后续会以电站价值为主导。电力交易能力、运维能力、数字化能力</w:t>
            </w:r>
            <w:r w:rsidR="00176B2E">
              <w:rPr>
                <w:rFonts w:ascii="宋体" w:eastAsia="宋体" w:hAnsi="宋体" w:hint="eastAsia"/>
                <w:szCs w:val="21"/>
              </w:rPr>
              <w:t>等</w:t>
            </w:r>
            <w:r w:rsidRPr="003063D5">
              <w:rPr>
                <w:rFonts w:ascii="宋体" w:eastAsia="宋体" w:hAnsi="宋体"/>
                <w:szCs w:val="21"/>
              </w:rPr>
              <w:t>是未来的重点。在政策出台后，</w:t>
            </w:r>
            <w:r w:rsidR="00A9182B">
              <w:rPr>
                <w:rFonts w:ascii="宋体" w:eastAsia="宋体" w:hAnsi="宋体" w:hint="eastAsia"/>
                <w:szCs w:val="21"/>
              </w:rPr>
              <w:t>公司</w:t>
            </w:r>
            <w:r w:rsidRPr="003063D5">
              <w:rPr>
                <w:rFonts w:ascii="宋体" w:eastAsia="宋体" w:hAnsi="宋体"/>
                <w:szCs w:val="21"/>
              </w:rPr>
              <w:t>做了较多的风险管控工作，思路以强并网、控开发为主，我们会把</w:t>
            </w:r>
            <w:r w:rsidR="00A9182B">
              <w:rPr>
                <w:rFonts w:ascii="宋体" w:eastAsia="宋体" w:hAnsi="宋体" w:hint="eastAsia"/>
                <w:szCs w:val="21"/>
              </w:rPr>
              <w:t>“</w:t>
            </w:r>
            <w:r w:rsidRPr="003063D5">
              <w:rPr>
                <w:rFonts w:ascii="宋体" w:eastAsia="宋体" w:hAnsi="宋体"/>
                <w:szCs w:val="21"/>
              </w:rPr>
              <w:t>531</w:t>
            </w:r>
            <w:r w:rsidR="00A9182B">
              <w:rPr>
                <w:rFonts w:ascii="宋体" w:eastAsia="宋体" w:hAnsi="宋体" w:hint="eastAsia"/>
                <w:szCs w:val="21"/>
              </w:rPr>
              <w:t>”</w:t>
            </w:r>
            <w:r w:rsidRPr="003063D5">
              <w:rPr>
                <w:rFonts w:ascii="宋体" w:eastAsia="宋体" w:hAnsi="宋体"/>
                <w:szCs w:val="21"/>
              </w:rPr>
              <w:t>前不能并网的电站控制在</w:t>
            </w:r>
            <w:r w:rsidR="00DE71B1">
              <w:rPr>
                <w:rFonts w:ascii="宋体" w:eastAsia="宋体" w:hAnsi="宋体" w:hint="eastAsia"/>
                <w:szCs w:val="21"/>
              </w:rPr>
              <w:t>较低量级</w:t>
            </w:r>
            <w:r w:rsidR="00A9182B">
              <w:rPr>
                <w:rFonts w:ascii="宋体" w:eastAsia="宋体" w:hAnsi="宋体"/>
                <w:szCs w:val="21"/>
              </w:rPr>
              <w:t>，</w:t>
            </w:r>
            <w:r w:rsidRPr="003063D5">
              <w:rPr>
                <w:rFonts w:ascii="宋体" w:eastAsia="宋体" w:hAnsi="宋体"/>
                <w:szCs w:val="21"/>
              </w:rPr>
              <w:t>轻装前行。</w:t>
            </w:r>
            <w:r w:rsidR="00A9182B">
              <w:rPr>
                <w:rFonts w:ascii="宋体" w:eastAsia="宋体" w:hAnsi="宋体" w:hint="eastAsia"/>
                <w:szCs w:val="21"/>
              </w:rPr>
              <w:t>同时</w:t>
            </w:r>
            <w:r w:rsidRPr="003063D5">
              <w:rPr>
                <w:rFonts w:ascii="宋体" w:eastAsia="宋体" w:hAnsi="宋体"/>
                <w:szCs w:val="21"/>
              </w:rPr>
              <w:t>在新政的指引下提出富家2.0</w:t>
            </w:r>
            <w:r w:rsidRPr="003063D5">
              <w:rPr>
                <w:rFonts w:ascii="宋体" w:eastAsia="宋体" w:hAnsi="宋体" w:hint="eastAsia"/>
                <w:szCs w:val="21"/>
              </w:rPr>
              <w:t>的战略，强调“以销定产”，按电价倒退对渠道费用进行管控，从过往单纯的业务关系，走向价值共生的渠道合作方式，同时</w:t>
            </w:r>
            <w:r w:rsidR="00DE71B1">
              <w:rPr>
                <w:rFonts w:ascii="宋体" w:eastAsia="宋体" w:hAnsi="宋体" w:hint="eastAsia"/>
                <w:szCs w:val="21"/>
              </w:rPr>
              <w:t>在积极构建虚拟电厂和电力交易的能力，已经积累了两年时间，团队也</w:t>
            </w:r>
            <w:r w:rsidRPr="003063D5">
              <w:rPr>
                <w:rFonts w:ascii="宋体" w:eastAsia="宋体" w:hAnsi="宋体" w:hint="eastAsia"/>
                <w:szCs w:val="21"/>
              </w:rPr>
              <w:t>达到</w:t>
            </w:r>
            <w:r w:rsidR="00DE71B1">
              <w:rPr>
                <w:rFonts w:ascii="宋体" w:eastAsia="宋体" w:hAnsi="宋体" w:hint="eastAsia"/>
                <w:szCs w:val="21"/>
              </w:rPr>
              <w:t>一定规模</w:t>
            </w:r>
            <w:r w:rsidRPr="003063D5">
              <w:rPr>
                <w:rFonts w:ascii="宋体" w:eastAsia="宋体" w:hAnsi="宋体"/>
                <w:szCs w:val="21"/>
              </w:rPr>
              <w:t>。我们的虚拟电厂由于天合的布局是有纵深的，未来虚拟电厂会结合我们集中式、储能侧、解决方案侧各种可被聚合的电力来源加强虚拟电厂能力。</w:t>
            </w:r>
          </w:p>
          <w:p w14:paraId="7ECB510A" w14:textId="38ED67B2" w:rsidR="003063D5" w:rsidRPr="003063D5" w:rsidRDefault="00A9182B" w:rsidP="003063D5">
            <w:pPr>
              <w:pStyle w:val="10"/>
              <w:rPr>
                <w:rFonts w:ascii="宋体" w:eastAsia="宋体" w:hAnsi="宋体"/>
                <w:szCs w:val="21"/>
              </w:rPr>
            </w:pPr>
            <w:r>
              <w:rPr>
                <w:rFonts w:ascii="宋体" w:eastAsia="宋体" w:hAnsi="宋体" w:hint="eastAsia"/>
                <w:szCs w:val="21"/>
              </w:rPr>
              <w:t>另外公司还</w:t>
            </w:r>
            <w:r w:rsidR="003063D5" w:rsidRPr="003063D5">
              <w:rPr>
                <w:rFonts w:ascii="宋体" w:eastAsia="宋体" w:hAnsi="宋体" w:hint="eastAsia"/>
                <w:szCs w:val="21"/>
              </w:rPr>
              <w:t>成立了解决方案中心，主要在几个新型场景发力，例如绿色算力，数据中心带来的电能需求是在指数级的增长，</w:t>
            </w:r>
            <w:r w:rsidR="00DE71B1">
              <w:rPr>
                <w:rFonts w:ascii="宋体" w:eastAsia="宋体" w:hAnsi="宋体" w:hint="eastAsia"/>
                <w:szCs w:val="21"/>
              </w:rPr>
              <w:t>公司</w:t>
            </w:r>
            <w:r w:rsidR="003063D5" w:rsidRPr="003063D5">
              <w:rPr>
                <w:rFonts w:ascii="宋体" w:eastAsia="宋体" w:hAnsi="宋体" w:hint="eastAsia"/>
                <w:szCs w:val="21"/>
              </w:rPr>
              <w:t>在青海和中国联通落地了源网荷储的合作，实现了绿电</w:t>
            </w:r>
            <w:r w:rsidR="003063D5" w:rsidRPr="003063D5">
              <w:rPr>
                <w:rFonts w:ascii="宋体" w:eastAsia="宋体" w:hAnsi="宋体"/>
                <w:szCs w:val="21"/>
              </w:rPr>
              <w:t>100%供应算力中心，现在正在东南亚、欧洲与算力投资方洽谈合作。依托我们光伏、储能的渠道布局，逐渐开展整体解决方案的应用。</w:t>
            </w:r>
          </w:p>
          <w:p w14:paraId="58F0EA96" w14:textId="77777777" w:rsidR="003063D5" w:rsidRPr="003063D5" w:rsidRDefault="003063D5" w:rsidP="000C1419">
            <w:pPr>
              <w:pStyle w:val="10"/>
              <w:ind w:firstLineChars="0" w:firstLine="0"/>
              <w:rPr>
                <w:rFonts w:ascii="宋体" w:eastAsia="宋体" w:hAnsi="宋体"/>
                <w:szCs w:val="21"/>
              </w:rPr>
            </w:pPr>
          </w:p>
          <w:p w14:paraId="2D64635F" w14:textId="65993B6C" w:rsidR="003063D5" w:rsidRPr="00793E7D" w:rsidRDefault="003063D5" w:rsidP="00793E7D">
            <w:pPr>
              <w:pStyle w:val="10"/>
              <w:ind w:firstLineChars="0" w:firstLine="0"/>
              <w:rPr>
                <w:rFonts w:ascii="宋体" w:eastAsia="宋体" w:hAnsi="宋体"/>
                <w:b/>
                <w:szCs w:val="21"/>
              </w:rPr>
            </w:pPr>
            <w:r w:rsidRPr="00793E7D">
              <w:rPr>
                <w:rFonts w:ascii="宋体" w:eastAsia="宋体" w:hAnsi="宋体"/>
                <w:b/>
                <w:szCs w:val="21"/>
              </w:rPr>
              <w:t>6、</w:t>
            </w:r>
            <w:r w:rsidR="00793E7D">
              <w:rPr>
                <w:rFonts w:ascii="宋体" w:eastAsia="宋体" w:hAnsi="宋体" w:hint="eastAsia"/>
                <w:b/>
                <w:szCs w:val="21"/>
              </w:rPr>
              <w:t>公司在钙钛矿叠层技术方面的布局</w:t>
            </w:r>
            <w:r w:rsidRPr="00793E7D">
              <w:rPr>
                <w:rFonts w:ascii="宋体" w:eastAsia="宋体" w:hAnsi="宋体"/>
                <w:b/>
                <w:szCs w:val="21"/>
              </w:rPr>
              <w:t>？</w:t>
            </w:r>
          </w:p>
          <w:p w14:paraId="13A00F97" w14:textId="77A5F5FA" w:rsidR="003063D5" w:rsidRDefault="003063D5" w:rsidP="004B433A">
            <w:pPr>
              <w:pStyle w:val="10"/>
              <w:rPr>
                <w:rFonts w:ascii="宋体" w:eastAsia="宋体" w:hAnsi="宋体"/>
                <w:szCs w:val="21"/>
              </w:rPr>
            </w:pPr>
            <w:r w:rsidRPr="003063D5">
              <w:rPr>
                <w:rFonts w:ascii="宋体" w:eastAsia="宋体" w:hAnsi="宋体"/>
                <w:szCs w:val="21"/>
              </w:rPr>
              <w:t>天合光能在钙钛矿叠层技术上十年磨一剑，</w:t>
            </w:r>
            <w:r w:rsidR="00DE71B1">
              <w:rPr>
                <w:rFonts w:ascii="宋体" w:eastAsia="宋体" w:hAnsi="宋体" w:hint="eastAsia"/>
                <w:szCs w:val="21"/>
              </w:rPr>
              <w:t>目前</w:t>
            </w:r>
            <w:r w:rsidR="00793E7D">
              <w:rPr>
                <w:rFonts w:ascii="宋体" w:eastAsia="宋体" w:hAnsi="宋体" w:hint="eastAsia"/>
                <w:szCs w:val="21"/>
              </w:rPr>
              <w:t>计划</w:t>
            </w:r>
            <w:r w:rsidRPr="003063D5">
              <w:rPr>
                <w:rFonts w:ascii="宋体" w:eastAsia="宋体" w:hAnsi="宋体"/>
                <w:szCs w:val="21"/>
              </w:rPr>
              <w:t>布局中试线，</w:t>
            </w:r>
            <w:r w:rsidR="00DE71B1">
              <w:rPr>
                <w:rFonts w:ascii="宋体" w:eastAsia="宋体" w:hAnsi="宋体" w:hint="eastAsia"/>
                <w:szCs w:val="21"/>
              </w:rPr>
              <w:t>预计</w:t>
            </w:r>
            <w:r w:rsidRPr="003063D5">
              <w:rPr>
                <w:rFonts w:ascii="宋体" w:eastAsia="宋体" w:hAnsi="宋体"/>
                <w:szCs w:val="21"/>
              </w:rPr>
              <w:t>效率比当前晶体硅的电池效率要高4pcts，应该说是颠覆性、跨越式的技术。未来2 – 3年会与合作伙伴共建规模化的钙钛矿电池产业生态。</w:t>
            </w:r>
          </w:p>
          <w:p w14:paraId="5FE73C14" w14:textId="77777777" w:rsidR="00793E7D" w:rsidRPr="00793E7D" w:rsidRDefault="00793E7D" w:rsidP="00793E7D">
            <w:pPr>
              <w:pStyle w:val="10"/>
              <w:ind w:firstLineChars="0" w:firstLine="0"/>
              <w:rPr>
                <w:rFonts w:ascii="宋体" w:eastAsia="宋体" w:hAnsi="宋体"/>
                <w:szCs w:val="21"/>
              </w:rPr>
            </w:pPr>
          </w:p>
          <w:p w14:paraId="7E82D69D" w14:textId="12D95474" w:rsidR="003063D5" w:rsidRPr="00793E7D" w:rsidRDefault="003063D5" w:rsidP="00793E7D">
            <w:pPr>
              <w:pStyle w:val="10"/>
              <w:ind w:firstLineChars="0" w:firstLine="0"/>
              <w:jc w:val="left"/>
              <w:rPr>
                <w:rFonts w:ascii="宋体" w:eastAsia="宋体" w:hAnsi="宋体"/>
                <w:b/>
                <w:szCs w:val="21"/>
              </w:rPr>
            </w:pPr>
            <w:r w:rsidRPr="00793E7D">
              <w:rPr>
                <w:rFonts w:ascii="宋体" w:eastAsia="宋体" w:hAnsi="宋体"/>
                <w:b/>
                <w:szCs w:val="21"/>
              </w:rPr>
              <w:t>7</w:t>
            </w:r>
            <w:r w:rsidR="00793E7D">
              <w:rPr>
                <w:rFonts w:ascii="宋体" w:eastAsia="宋体" w:hAnsi="宋体"/>
                <w:b/>
                <w:szCs w:val="21"/>
              </w:rPr>
              <w:t>、</w:t>
            </w:r>
            <w:r w:rsidRPr="00793E7D">
              <w:rPr>
                <w:rFonts w:ascii="宋体" w:eastAsia="宋体" w:hAnsi="宋体"/>
                <w:b/>
                <w:szCs w:val="21"/>
              </w:rPr>
              <w:t>石英砂</w:t>
            </w:r>
            <w:r w:rsidR="00793E7D">
              <w:rPr>
                <w:rFonts w:ascii="宋体" w:eastAsia="宋体" w:hAnsi="宋体" w:hint="eastAsia"/>
                <w:b/>
                <w:szCs w:val="21"/>
              </w:rPr>
              <w:t>的供应情况</w:t>
            </w:r>
            <w:r w:rsidRPr="00793E7D">
              <w:rPr>
                <w:rFonts w:ascii="宋体" w:eastAsia="宋体" w:hAnsi="宋体"/>
                <w:b/>
                <w:szCs w:val="21"/>
              </w:rPr>
              <w:t>？</w:t>
            </w:r>
          </w:p>
          <w:p w14:paraId="3DF625C7" w14:textId="0366BC9C" w:rsidR="003063D5" w:rsidRDefault="003063D5" w:rsidP="004B433A">
            <w:pPr>
              <w:pStyle w:val="10"/>
              <w:rPr>
                <w:rFonts w:ascii="宋体" w:eastAsia="宋体" w:hAnsi="宋体"/>
                <w:szCs w:val="21"/>
              </w:rPr>
            </w:pPr>
            <w:r w:rsidRPr="003063D5">
              <w:rPr>
                <w:rFonts w:ascii="宋体" w:eastAsia="宋体" w:hAnsi="宋体"/>
                <w:szCs w:val="21"/>
              </w:rPr>
              <w:t>我们在石英砂的供应上，与供应商已经签订了较长期的订单，未来几年在供应链安全上</w:t>
            </w:r>
            <w:r w:rsidR="00793E7D">
              <w:rPr>
                <w:rFonts w:ascii="宋体" w:eastAsia="宋体" w:hAnsi="宋体" w:hint="eastAsia"/>
                <w:szCs w:val="21"/>
              </w:rPr>
              <w:t>预计</w:t>
            </w:r>
            <w:r w:rsidRPr="003063D5">
              <w:rPr>
                <w:rFonts w:ascii="宋体" w:eastAsia="宋体" w:hAnsi="宋体"/>
                <w:szCs w:val="21"/>
              </w:rPr>
              <w:t>不会因贸易风险而构成实质性问题。</w:t>
            </w:r>
          </w:p>
          <w:p w14:paraId="175E6060" w14:textId="77777777" w:rsidR="00DE71B1" w:rsidRPr="003063D5" w:rsidRDefault="00DE71B1" w:rsidP="00793E7D">
            <w:pPr>
              <w:pStyle w:val="10"/>
              <w:ind w:firstLineChars="0" w:firstLine="0"/>
              <w:rPr>
                <w:rFonts w:ascii="宋体" w:eastAsia="宋体" w:hAnsi="宋体"/>
                <w:szCs w:val="21"/>
              </w:rPr>
            </w:pPr>
          </w:p>
          <w:p w14:paraId="271417E4" w14:textId="68B29DD3" w:rsidR="003063D5" w:rsidRPr="00793E7D" w:rsidRDefault="00793E7D" w:rsidP="00793E7D">
            <w:pPr>
              <w:pStyle w:val="10"/>
              <w:ind w:firstLineChars="0" w:firstLine="0"/>
              <w:rPr>
                <w:rFonts w:ascii="宋体" w:eastAsia="宋体" w:hAnsi="宋体"/>
                <w:b/>
                <w:szCs w:val="21"/>
              </w:rPr>
            </w:pPr>
            <w:r w:rsidRPr="00793E7D">
              <w:rPr>
                <w:rFonts w:ascii="宋体" w:eastAsia="宋体" w:hAnsi="宋体" w:hint="eastAsia"/>
                <w:b/>
                <w:szCs w:val="21"/>
              </w:rPr>
              <w:t>8</w:t>
            </w:r>
            <w:r w:rsidR="00DE71B1">
              <w:rPr>
                <w:rFonts w:ascii="宋体" w:eastAsia="宋体" w:hAnsi="宋体"/>
                <w:b/>
                <w:szCs w:val="21"/>
              </w:rPr>
              <w:t>、当前</w:t>
            </w:r>
            <w:r w:rsidR="003063D5" w:rsidRPr="00793E7D">
              <w:rPr>
                <w:rFonts w:ascii="宋体" w:eastAsia="宋体" w:hAnsi="宋体"/>
                <w:b/>
                <w:szCs w:val="21"/>
              </w:rPr>
              <w:t>的</w:t>
            </w:r>
            <w:r>
              <w:rPr>
                <w:rFonts w:ascii="宋体" w:eastAsia="宋体" w:hAnsi="宋体" w:hint="eastAsia"/>
                <w:b/>
                <w:szCs w:val="21"/>
              </w:rPr>
              <w:t>银行</w:t>
            </w:r>
            <w:r w:rsidR="003063D5" w:rsidRPr="00793E7D">
              <w:rPr>
                <w:rFonts w:ascii="宋体" w:eastAsia="宋体" w:hAnsi="宋体"/>
                <w:b/>
                <w:szCs w:val="21"/>
              </w:rPr>
              <w:t>融资情况如何？</w:t>
            </w:r>
          </w:p>
          <w:p w14:paraId="1D3E923A" w14:textId="54B90141" w:rsidR="003063D5" w:rsidRDefault="003063D5" w:rsidP="004B433A">
            <w:pPr>
              <w:pStyle w:val="10"/>
              <w:rPr>
                <w:rFonts w:ascii="宋体" w:eastAsia="宋体" w:hAnsi="宋体"/>
                <w:szCs w:val="21"/>
              </w:rPr>
            </w:pPr>
            <w:r w:rsidRPr="003063D5">
              <w:rPr>
                <w:rFonts w:ascii="宋体" w:eastAsia="宋体" w:hAnsi="宋体"/>
                <w:szCs w:val="21"/>
              </w:rPr>
              <w:t>现在从公司层面来看，各家银行在现阶段给天合的综合授信还是维持在去年年终的判断，没有调整，部分银行给予更多的支持。基于目前年报、一季报的情况我们也已经与各家银行做了充分沟通</w:t>
            </w:r>
            <w:r w:rsidR="00DE71B1">
              <w:rPr>
                <w:rFonts w:ascii="宋体" w:eastAsia="宋体" w:hAnsi="宋体"/>
                <w:szCs w:val="21"/>
              </w:rPr>
              <w:t>，对于经营结果有充分的预期，</w:t>
            </w:r>
            <w:r w:rsidR="00DE71B1">
              <w:rPr>
                <w:rFonts w:ascii="宋体" w:eastAsia="宋体" w:hAnsi="宋体" w:hint="eastAsia"/>
                <w:szCs w:val="21"/>
              </w:rPr>
              <w:t>目前</w:t>
            </w:r>
            <w:r w:rsidR="00DE71B1">
              <w:rPr>
                <w:rFonts w:ascii="宋体" w:eastAsia="宋体" w:hAnsi="宋体"/>
                <w:szCs w:val="21"/>
              </w:rPr>
              <w:t>没有对资金支持力度的调整。国家也在给一定的指导意见，对产业链的龙头企业、链主企业</w:t>
            </w:r>
            <w:r w:rsidR="00DE71B1">
              <w:rPr>
                <w:rFonts w:ascii="宋体" w:eastAsia="宋体" w:hAnsi="宋体" w:hint="eastAsia"/>
                <w:szCs w:val="21"/>
              </w:rPr>
              <w:t>有</w:t>
            </w:r>
            <w:r w:rsidRPr="003063D5">
              <w:rPr>
                <w:rFonts w:ascii="宋体" w:eastAsia="宋体" w:hAnsi="宋体"/>
                <w:szCs w:val="21"/>
              </w:rPr>
              <w:t>相应的金</w:t>
            </w:r>
            <w:r w:rsidR="00DE71B1">
              <w:rPr>
                <w:rFonts w:ascii="宋体" w:eastAsia="宋体" w:hAnsi="宋体"/>
                <w:szCs w:val="21"/>
              </w:rPr>
              <w:t>融支持</w:t>
            </w:r>
            <w:r w:rsidR="00DE71B1">
              <w:rPr>
                <w:rFonts w:ascii="宋体" w:eastAsia="宋体" w:hAnsi="宋体" w:hint="eastAsia"/>
                <w:szCs w:val="21"/>
              </w:rPr>
              <w:t>。</w:t>
            </w:r>
          </w:p>
          <w:p w14:paraId="64903BE1" w14:textId="77777777" w:rsidR="007D13EE" w:rsidRPr="003063D5" w:rsidRDefault="007D13EE" w:rsidP="007D13EE">
            <w:pPr>
              <w:pStyle w:val="10"/>
              <w:ind w:firstLineChars="0" w:firstLine="0"/>
              <w:rPr>
                <w:rFonts w:ascii="宋体" w:eastAsia="宋体" w:hAnsi="宋体"/>
                <w:szCs w:val="21"/>
              </w:rPr>
            </w:pPr>
          </w:p>
          <w:p w14:paraId="047C6F13" w14:textId="384D3D31" w:rsidR="003063D5" w:rsidRPr="003063D5" w:rsidRDefault="000C1419" w:rsidP="00DE71B1">
            <w:pPr>
              <w:pStyle w:val="10"/>
              <w:ind w:firstLineChars="0" w:firstLine="0"/>
              <w:rPr>
                <w:rFonts w:ascii="宋体" w:eastAsia="宋体" w:hAnsi="宋体"/>
                <w:szCs w:val="21"/>
              </w:rPr>
            </w:pPr>
            <w:r>
              <w:rPr>
                <w:rFonts w:ascii="宋体" w:eastAsia="宋体" w:hAnsi="宋体" w:hint="eastAsia"/>
                <w:b/>
                <w:szCs w:val="21"/>
              </w:rPr>
              <w:t>9</w:t>
            </w:r>
            <w:r w:rsidR="003063D5" w:rsidRPr="00DE71B1">
              <w:rPr>
                <w:rFonts w:ascii="宋体" w:eastAsia="宋体" w:hAnsi="宋体"/>
                <w:b/>
                <w:szCs w:val="21"/>
              </w:rPr>
              <w:t>、想请教一下支架业务的出货</w:t>
            </w:r>
            <w:r w:rsidR="00B051DD">
              <w:rPr>
                <w:rFonts w:ascii="宋体" w:eastAsia="宋体" w:hAnsi="宋体" w:hint="eastAsia"/>
                <w:b/>
                <w:szCs w:val="21"/>
              </w:rPr>
              <w:t>、订单区域</w:t>
            </w:r>
            <w:r w:rsidR="00DE71B1">
              <w:rPr>
                <w:rFonts w:ascii="宋体" w:eastAsia="宋体" w:hAnsi="宋体" w:hint="eastAsia"/>
                <w:b/>
                <w:szCs w:val="21"/>
              </w:rPr>
              <w:t>等情况</w:t>
            </w:r>
            <w:r w:rsidR="003063D5" w:rsidRPr="00DE71B1">
              <w:rPr>
                <w:rFonts w:ascii="宋体" w:eastAsia="宋体" w:hAnsi="宋体"/>
                <w:b/>
                <w:szCs w:val="21"/>
              </w:rPr>
              <w:t xml:space="preserve">？ </w:t>
            </w:r>
          </w:p>
          <w:p w14:paraId="34BDE1A0" w14:textId="108CF8AF" w:rsidR="003063D5" w:rsidRPr="003063D5" w:rsidRDefault="003063D5" w:rsidP="004B433A">
            <w:pPr>
              <w:pStyle w:val="10"/>
              <w:rPr>
                <w:rFonts w:ascii="宋体" w:eastAsia="宋体" w:hAnsi="宋体"/>
                <w:szCs w:val="21"/>
              </w:rPr>
            </w:pPr>
            <w:r w:rsidRPr="003063D5">
              <w:rPr>
                <w:rFonts w:ascii="宋体" w:eastAsia="宋体" w:hAnsi="宋体"/>
                <w:szCs w:val="21"/>
              </w:rPr>
              <w:t>24</w:t>
            </w:r>
            <w:r w:rsidR="00DE71B1">
              <w:rPr>
                <w:rFonts w:ascii="宋体" w:eastAsia="宋体" w:hAnsi="宋体"/>
                <w:szCs w:val="21"/>
              </w:rPr>
              <w:t>年天合的支架出货量</w:t>
            </w:r>
            <w:r w:rsidRPr="003063D5">
              <w:rPr>
                <w:rFonts w:ascii="宋体" w:eastAsia="宋体" w:hAnsi="宋体"/>
                <w:szCs w:val="21"/>
              </w:rPr>
              <w:t>近8GW，跟踪支架占比超过50%，区域来看欧</w:t>
            </w:r>
            <w:r w:rsidRPr="003063D5">
              <w:rPr>
                <w:rFonts w:ascii="宋体" w:eastAsia="宋体" w:hAnsi="宋体"/>
                <w:szCs w:val="21"/>
              </w:rPr>
              <w:lastRenderedPageBreak/>
              <w:t>洲占比超过30%，25Q1支架出货</w:t>
            </w:r>
            <w:r w:rsidR="00DE71B1">
              <w:rPr>
                <w:rFonts w:ascii="宋体" w:eastAsia="宋体" w:hAnsi="宋体" w:hint="eastAsia"/>
                <w:szCs w:val="21"/>
              </w:rPr>
              <w:t>约</w:t>
            </w:r>
            <w:r w:rsidRPr="003063D5">
              <w:rPr>
                <w:rFonts w:ascii="宋体" w:eastAsia="宋体" w:hAnsi="宋体"/>
                <w:szCs w:val="21"/>
              </w:rPr>
              <w:t>1.6</w:t>
            </w:r>
            <w:r w:rsidR="00DE71B1">
              <w:rPr>
                <w:rFonts w:ascii="宋体" w:eastAsia="宋体" w:hAnsi="宋体" w:hint="eastAsia"/>
                <w:szCs w:val="21"/>
              </w:rPr>
              <w:t>-</w:t>
            </w:r>
            <w:r w:rsidRPr="003063D5">
              <w:rPr>
                <w:rFonts w:ascii="宋体" w:eastAsia="宋体" w:hAnsi="宋体"/>
                <w:szCs w:val="21"/>
              </w:rPr>
              <w:t>1.7GW，跟踪支架占比超过70%，欧洲占比维持30%</w:t>
            </w:r>
            <w:r w:rsidR="00B051DD">
              <w:rPr>
                <w:rFonts w:ascii="宋体" w:eastAsia="宋体" w:hAnsi="宋体" w:hint="eastAsia"/>
                <w:szCs w:val="21"/>
              </w:rPr>
              <w:t>左右水平</w:t>
            </w:r>
            <w:r w:rsidRPr="003063D5">
              <w:rPr>
                <w:rFonts w:ascii="宋体" w:eastAsia="宋体" w:hAnsi="宋体"/>
                <w:szCs w:val="21"/>
              </w:rPr>
              <w:t>。</w:t>
            </w:r>
          </w:p>
          <w:p w14:paraId="72ED4AED" w14:textId="4E5FDEB3" w:rsidR="003063D5" w:rsidRPr="003063D5" w:rsidRDefault="003063D5" w:rsidP="00B051DD">
            <w:pPr>
              <w:pStyle w:val="10"/>
              <w:ind w:firstLineChars="0" w:firstLine="0"/>
              <w:rPr>
                <w:rFonts w:ascii="宋体" w:eastAsia="宋体" w:hAnsi="宋体"/>
                <w:szCs w:val="21"/>
              </w:rPr>
            </w:pPr>
          </w:p>
          <w:p w14:paraId="14604915" w14:textId="2D1906A4" w:rsidR="003063D5" w:rsidRPr="00B051DD" w:rsidRDefault="003063D5" w:rsidP="00B051DD">
            <w:pPr>
              <w:pStyle w:val="10"/>
              <w:ind w:firstLineChars="0" w:firstLine="0"/>
              <w:rPr>
                <w:rFonts w:ascii="宋体" w:eastAsia="宋体" w:hAnsi="宋体"/>
                <w:b/>
                <w:szCs w:val="21"/>
              </w:rPr>
            </w:pPr>
            <w:r w:rsidRPr="00B051DD">
              <w:rPr>
                <w:rFonts w:ascii="宋体" w:eastAsia="宋体" w:hAnsi="宋体"/>
                <w:b/>
                <w:szCs w:val="21"/>
              </w:rPr>
              <w:t>1</w:t>
            </w:r>
            <w:r w:rsidR="000C1419">
              <w:rPr>
                <w:rFonts w:ascii="宋体" w:eastAsia="宋体" w:hAnsi="宋体" w:hint="eastAsia"/>
                <w:b/>
                <w:szCs w:val="21"/>
              </w:rPr>
              <w:t>0</w:t>
            </w:r>
            <w:r w:rsidRPr="00B051DD">
              <w:rPr>
                <w:rFonts w:ascii="宋体" w:eastAsia="宋体" w:hAnsi="宋体"/>
                <w:b/>
                <w:szCs w:val="21"/>
              </w:rPr>
              <w:t>、储能行业在</w:t>
            </w:r>
            <w:r w:rsidR="00B051DD">
              <w:rPr>
                <w:rFonts w:ascii="宋体" w:eastAsia="宋体" w:hAnsi="宋体"/>
                <w:b/>
                <w:szCs w:val="21"/>
              </w:rPr>
              <w:t>国内外的竞争要素不同，看到天合储能在这两年都保持了高增速，</w:t>
            </w:r>
            <w:r w:rsidR="00B051DD">
              <w:rPr>
                <w:rFonts w:ascii="宋体" w:eastAsia="宋体" w:hAnsi="宋体" w:hint="eastAsia"/>
                <w:b/>
                <w:szCs w:val="21"/>
              </w:rPr>
              <w:t>请问公司认为海外储能方面的竞争要素有哪些？</w:t>
            </w:r>
            <w:r w:rsidR="00B051DD" w:rsidRPr="00B051DD">
              <w:rPr>
                <w:rFonts w:ascii="宋体" w:eastAsia="宋体" w:hAnsi="宋体"/>
                <w:b/>
                <w:szCs w:val="21"/>
              </w:rPr>
              <w:t xml:space="preserve"> </w:t>
            </w:r>
          </w:p>
          <w:p w14:paraId="4CE05C28" w14:textId="7382419A" w:rsidR="003063D5" w:rsidRPr="003063D5" w:rsidRDefault="00B051DD" w:rsidP="004B433A">
            <w:pPr>
              <w:pStyle w:val="10"/>
              <w:rPr>
                <w:rFonts w:ascii="宋体" w:eastAsia="宋体" w:hAnsi="宋体"/>
                <w:szCs w:val="21"/>
              </w:rPr>
            </w:pPr>
            <w:r>
              <w:rPr>
                <w:rFonts w:ascii="宋体" w:eastAsia="宋体" w:hAnsi="宋体"/>
                <w:szCs w:val="21"/>
              </w:rPr>
              <w:t>海外</w:t>
            </w:r>
            <w:r w:rsidR="003063D5" w:rsidRPr="003063D5">
              <w:rPr>
                <w:rFonts w:ascii="宋体" w:eastAsia="宋体" w:hAnsi="宋体"/>
                <w:szCs w:val="21"/>
              </w:rPr>
              <w:t>储能</w:t>
            </w:r>
            <w:r>
              <w:rPr>
                <w:rFonts w:ascii="宋体" w:eastAsia="宋体" w:hAnsi="宋体" w:hint="eastAsia"/>
                <w:szCs w:val="21"/>
              </w:rPr>
              <w:t>市场</w:t>
            </w:r>
            <w:r w:rsidR="003063D5" w:rsidRPr="003063D5">
              <w:rPr>
                <w:rFonts w:ascii="宋体" w:eastAsia="宋体" w:hAnsi="宋体"/>
                <w:szCs w:val="21"/>
              </w:rPr>
              <w:t>未来长期</w:t>
            </w:r>
            <w:r>
              <w:rPr>
                <w:rFonts w:ascii="宋体" w:eastAsia="宋体" w:hAnsi="宋体" w:hint="eastAsia"/>
                <w:szCs w:val="21"/>
              </w:rPr>
              <w:t>看预计</w:t>
            </w:r>
            <w:r>
              <w:rPr>
                <w:rFonts w:ascii="宋体" w:eastAsia="宋体" w:hAnsi="宋体"/>
                <w:szCs w:val="21"/>
              </w:rPr>
              <w:t>还</w:t>
            </w:r>
            <w:r w:rsidR="003063D5" w:rsidRPr="003063D5">
              <w:rPr>
                <w:rFonts w:ascii="宋体" w:eastAsia="宋体" w:hAnsi="宋体"/>
                <w:szCs w:val="21"/>
              </w:rPr>
              <w:t>会呈现高毛利水平，有三个要点决定了天合在海外市场的竞争力：第一是海外比较认可自有电芯和直流舱、交流系统的产品模式，认为这种模式下产品质量和长期服务得到了保证。第二是天合储能在海外形成了比较好的服务体系，过去20多年来的国际化布局和全球化文化的建设，形成了全球化本土化特征的服务团队，在核心价值观上得到了客户认可，海外储能客户在价格因素之外更重视长期的服务和运维。第三是海外客户的场景多样化，新场景如算力、矿区等场景对产品的技术要求也在不断提升，天合在技术上持续迭代保持领先，能够满足</w:t>
            </w:r>
            <w:r w:rsidR="003063D5" w:rsidRPr="003063D5">
              <w:rPr>
                <w:rFonts w:ascii="宋体" w:eastAsia="宋体" w:hAnsi="宋体" w:hint="eastAsia"/>
                <w:szCs w:val="21"/>
              </w:rPr>
              <w:t>客户的要求，形成了差异化的特征，让我们的份额提升且毛利率保持良好的水平。</w:t>
            </w:r>
          </w:p>
          <w:p w14:paraId="563C46D8" w14:textId="77777777" w:rsidR="003063D5" w:rsidRPr="003063D5" w:rsidRDefault="003063D5" w:rsidP="00B051DD">
            <w:pPr>
              <w:pStyle w:val="10"/>
              <w:ind w:firstLineChars="0" w:firstLine="0"/>
              <w:rPr>
                <w:rFonts w:ascii="宋体" w:eastAsia="宋体" w:hAnsi="宋体"/>
                <w:szCs w:val="21"/>
              </w:rPr>
            </w:pPr>
          </w:p>
          <w:p w14:paraId="61769DEA" w14:textId="60A6D8AC" w:rsidR="003063D5" w:rsidRPr="00B051DD" w:rsidRDefault="003063D5" w:rsidP="00B051DD">
            <w:pPr>
              <w:pStyle w:val="10"/>
              <w:ind w:firstLineChars="0" w:firstLine="0"/>
              <w:rPr>
                <w:rFonts w:ascii="宋体" w:eastAsia="宋体" w:hAnsi="宋体"/>
                <w:b/>
                <w:szCs w:val="21"/>
              </w:rPr>
            </w:pPr>
            <w:r w:rsidRPr="00B051DD">
              <w:rPr>
                <w:rFonts w:ascii="宋体" w:eastAsia="宋体" w:hAnsi="宋体"/>
                <w:b/>
                <w:szCs w:val="21"/>
              </w:rPr>
              <w:t>1</w:t>
            </w:r>
            <w:r w:rsidR="000C1419">
              <w:rPr>
                <w:rFonts w:ascii="宋体" w:eastAsia="宋体" w:hAnsi="宋体" w:hint="eastAsia"/>
                <w:b/>
                <w:szCs w:val="21"/>
              </w:rPr>
              <w:t>1</w:t>
            </w:r>
            <w:r w:rsidRPr="00B051DD">
              <w:rPr>
                <w:rFonts w:ascii="宋体" w:eastAsia="宋体" w:hAnsi="宋体"/>
                <w:b/>
                <w:szCs w:val="21"/>
              </w:rPr>
              <w:t>、光伏行业</w:t>
            </w:r>
            <w:r w:rsidR="00B051DD">
              <w:rPr>
                <w:rFonts w:ascii="宋体" w:eastAsia="宋体" w:hAnsi="宋体" w:hint="eastAsia"/>
                <w:b/>
                <w:szCs w:val="21"/>
              </w:rPr>
              <w:t>处于</w:t>
            </w:r>
            <w:r w:rsidRPr="00B051DD">
              <w:rPr>
                <w:rFonts w:ascii="宋体" w:eastAsia="宋体" w:hAnsi="宋体"/>
                <w:b/>
                <w:szCs w:val="21"/>
              </w:rPr>
              <w:t>低谷期，在费用管理、产能优化上，我们有哪些举措？</w:t>
            </w:r>
          </w:p>
          <w:p w14:paraId="0D76AD01" w14:textId="2BE07815" w:rsidR="009219D5" w:rsidRDefault="003063D5" w:rsidP="007D0582">
            <w:pPr>
              <w:pStyle w:val="10"/>
              <w:rPr>
                <w:rFonts w:ascii="宋体" w:eastAsia="宋体" w:hAnsi="宋体"/>
                <w:szCs w:val="21"/>
              </w:rPr>
            </w:pPr>
            <w:r w:rsidRPr="003063D5">
              <w:rPr>
                <w:rFonts w:ascii="宋体" w:eastAsia="宋体" w:hAnsi="宋体"/>
                <w:szCs w:val="21"/>
              </w:rPr>
              <w:t>在光伏板块上，我们的降本增效从24年下半年开始，进行了人员优化和减费控费，至今不到1年的时间，整体费用降幅已经接近30%。在储能、解决方案业务上会匹配增量进行一定的费用和资源配置。同时通过数字化变革、管理变革来提升运营效率，例如财经体系的数字化率已经提升了40%。除此之外，我们在财经风险上做了全面的管理，包括负债率管控、资金管理，我们的内部目标就是维持200亿</w:t>
            </w:r>
            <w:r w:rsidR="006725A4">
              <w:rPr>
                <w:rFonts w:ascii="宋体" w:eastAsia="宋体" w:hAnsi="宋体" w:hint="eastAsia"/>
                <w:szCs w:val="21"/>
              </w:rPr>
              <w:t>左右</w:t>
            </w:r>
            <w:r w:rsidRPr="003063D5">
              <w:rPr>
                <w:rFonts w:ascii="宋体" w:eastAsia="宋体" w:hAnsi="宋体"/>
                <w:szCs w:val="21"/>
              </w:rPr>
              <w:t>的资金规模来确保穿越周期低谷</w:t>
            </w:r>
            <w:r w:rsidR="00B051DD">
              <w:rPr>
                <w:rFonts w:ascii="宋体" w:eastAsia="宋体" w:hAnsi="宋体" w:hint="eastAsia"/>
                <w:szCs w:val="21"/>
              </w:rPr>
              <w:t>。</w:t>
            </w:r>
          </w:p>
          <w:p w14:paraId="3E7734EA" w14:textId="51643CA0" w:rsidR="00B051DD" w:rsidRPr="004261B3" w:rsidRDefault="00B051DD" w:rsidP="003063D5">
            <w:pPr>
              <w:pStyle w:val="10"/>
              <w:ind w:firstLineChars="0" w:firstLine="0"/>
              <w:rPr>
                <w:rFonts w:ascii="宋体" w:eastAsia="宋体" w:hAnsi="宋体"/>
                <w:szCs w:val="21"/>
              </w:rPr>
            </w:pPr>
          </w:p>
        </w:tc>
      </w:tr>
      <w:tr w:rsidR="000822AE" w14:paraId="7165B5EC" w14:textId="77777777">
        <w:trPr>
          <w:trHeight w:val="77"/>
          <w:jc w:val="center"/>
        </w:trPr>
        <w:tc>
          <w:tcPr>
            <w:tcW w:w="1838" w:type="dxa"/>
            <w:vAlign w:val="center"/>
          </w:tcPr>
          <w:p w14:paraId="70085B1D" w14:textId="77777777" w:rsidR="000822AE" w:rsidRDefault="004A6D09">
            <w:pPr>
              <w:spacing w:line="360" w:lineRule="exact"/>
              <w:jc w:val="center"/>
              <w:rPr>
                <w:rFonts w:ascii="宋体" w:eastAsia="宋体" w:hAnsi="宋体" w:cs="Times New Roman"/>
                <w:b/>
                <w:bCs/>
                <w:sz w:val="22"/>
              </w:rPr>
            </w:pPr>
            <w:r>
              <w:rPr>
                <w:rFonts w:ascii="宋体" w:eastAsia="宋体" w:hAnsi="宋体" w:cs="Times New Roman" w:hint="eastAsia"/>
                <w:b/>
                <w:bCs/>
                <w:sz w:val="22"/>
              </w:rPr>
              <w:lastRenderedPageBreak/>
              <w:t>附件</w:t>
            </w:r>
            <w:r>
              <w:rPr>
                <w:rFonts w:ascii="宋体" w:eastAsia="宋体" w:hAnsi="宋体" w:cs="Times New Roman"/>
                <w:b/>
                <w:bCs/>
                <w:sz w:val="22"/>
              </w:rPr>
              <w:t>清单</w:t>
            </w:r>
          </w:p>
          <w:p w14:paraId="0B9C6CB0" w14:textId="77777777" w:rsidR="000822AE" w:rsidRDefault="004A6D09">
            <w:pPr>
              <w:spacing w:line="360" w:lineRule="exact"/>
              <w:jc w:val="center"/>
              <w:rPr>
                <w:rFonts w:ascii="宋体" w:eastAsia="宋体" w:hAnsi="宋体" w:cs="Times New Roman"/>
                <w:sz w:val="22"/>
              </w:rPr>
            </w:pPr>
            <w:r>
              <w:rPr>
                <w:rFonts w:ascii="宋体" w:eastAsia="宋体" w:hAnsi="宋体" w:cs="Times New Roman" w:hint="eastAsia"/>
                <w:b/>
                <w:bCs/>
                <w:sz w:val="22"/>
              </w:rPr>
              <w:t>（</w:t>
            </w:r>
            <w:r>
              <w:rPr>
                <w:rFonts w:ascii="宋体" w:eastAsia="宋体" w:hAnsi="宋体" w:cs="Times New Roman"/>
                <w:b/>
                <w:bCs/>
                <w:sz w:val="22"/>
              </w:rPr>
              <w:t>如有）</w:t>
            </w:r>
          </w:p>
        </w:tc>
        <w:tc>
          <w:tcPr>
            <w:tcW w:w="6804" w:type="dxa"/>
            <w:vAlign w:val="center"/>
          </w:tcPr>
          <w:p w14:paraId="0B0246E0" w14:textId="77777777" w:rsidR="000822AE" w:rsidRDefault="004A6D09">
            <w:pPr>
              <w:spacing w:line="360" w:lineRule="exact"/>
              <w:rPr>
                <w:rFonts w:ascii="宋体" w:eastAsia="宋体" w:hAnsi="宋体" w:cs="Times New Roman"/>
                <w:sz w:val="22"/>
              </w:rPr>
            </w:pPr>
            <w:r>
              <w:rPr>
                <w:rFonts w:ascii="宋体" w:eastAsia="宋体" w:hAnsi="宋体" w:cs="Times New Roman" w:hint="eastAsia"/>
                <w:sz w:val="22"/>
              </w:rPr>
              <w:t>无</w:t>
            </w:r>
          </w:p>
        </w:tc>
      </w:tr>
      <w:tr w:rsidR="000822AE" w14:paraId="29CDC20B" w14:textId="77777777">
        <w:trPr>
          <w:trHeight w:val="77"/>
          <w:jc w:val="center"/>
        </w:trPr>
        <w:tc>
          <w:tcPr>
            <w:tcW w:w="1838" w:type="dxa"/>
            <w:vAlign w:val="center"/>
          </w:tcPr>
          <w:p w14:paraId="66010190" w14:textId="77777777" w:rsidR="000822AE" w:rsidRDefault="004A6D09">
            <w:pPr>
              <w:spacing w:line="360" w:lineRule="exact"/>
              <w:jc w:val="center"/>
              <w:rPr>
                <w:rFonts w:ascii="宋体" w:eastAsia="宋体" w:hAnsi="宋体" w:cs="Times New Roman"/>
                <w:b/>
                <w:bCs/>
                <w:sz w:val="22"/>
              </w:rPr>
            </w:pPr>
            <w:r>
              <w:rPr>
                <w:rFonts w:ascii="宋体" w:eastAsia="宋体" w:hAnsi="宋体" w:cs="Times New Roman" w:hint="eastAsia"/>
                <w:b/>
                <w:bCs/>
                <w:sz w:val="22"/>
              </w:rPr>
              <w:t>日期</w:t>
            </w:r>
          </w:p>
        </w:tc>
        <w:tc>
          <w:tcPr>
            <w:tcW w:w="6804" w:type="dxa"/>
            <w:vAlign w:val="center"/>
          </w:tcPr>
          <w:p w14:paraId="4FA5E1A1" w14:textId="76E80684" w:rsidR="000822AE" w:rsidRDefault="004A6D09">
            <w:pPr>
              <w:spacing w:line="360" w:lineRule="exact"/>
              <w:rPr>
                <w:rFonts w:ascii="宋体" w:eastAsia="宋体" w:hAnsi="宋体" w:cs="Times New Roman"/>
                <w:sz w:val="22"/>
              </w:rPr>
            </w:pPr>
            <w:r>
              <w:rPr>
                <w:rFonts w:ascii="宋体" w:eastAsia="宋体" w:hAnsi="宋体" w:cs="Times New Roman" w:hint="eastAsia"/>
                <w:sz w:val="22"/>
              </w:rPr>
              <w:t>2</w:t>
            </w:r>
            <w:r>
              <w:rPr>
                <w:rFonts w:ascii="宋体" w:eastAsia="宋体" w:hAnsi="宋体" w:cs="Times New Roman"/>
                <w:sz w:val="22"/>
              </w:rPr>
              <w:t>02</w:t>
            </w:r>
            <w:r w:rsidR="003063D5">
              <w:rPr>
                <w:rFonts w:ascii="宋体" w:eastAsia="宋体" w:hAnsi="宋体" w:cs="Times New Roman" w:hint="eastAsia"/>
                <w:sz w:val="22"/>
              </w:rPr>
              <w:t>5</w:t>
            </w:r>
            <w:r>
              <w:rPr>
                <w:rFonts w:ascii="宋体" w:eastAsia="宋体" w:hAnsi="宋体" w:cs="Times New Roman" w:hint="eastAsia"/>
                <w:sz w:val="22"/>
              </w:rPr>
              <w:t>年</w:t>
            </w:r>
            <w:r w:rsidR="003063D5">
              <w:rPr>
                <w:rFonts w:ascii="宋体" w:eastAsia="宋体" w:hAnsi="宋体" w:cs="Times New Roman" w:hint="eastAsia"/>
                <w:sz w:val="22"/>
              </w:rPr>
              <w:t>4</w:t>
            </w:r>
            <w:r>
              <w:rPr>
                <w:rFonts w:ascii="宋体" w:eastAsia="宋体" w:hAnsi="宋体" w:cs="Times New Roman" w:hint="eastAsia"/>
                <w:sz w:val="22"/>
              </w:rPr>
              <w:t>月</w:t>
            </w:r>
            <w:r w:rsidR="003063D5">
              <w:rPr>
                <w:rFonts w:ascii="宋体" w:eastAsia="宋体" w:hAnsi="宋体" w:cs="Times New Roman" w:hint="eastAsia"/>
                <w:sz w:val="22"/>
              </w:rPr>
              <w:t>30</w:t>
            </w:r>
            <w:r>
              <w:rPr>
                <w:rFonts w:ascii="宋体" w:eastAsia="宋体" w:hAnsi="宋体" w:cs="Times New Roman" w:hint="eastAsia"/>
                <w:sz w:val="22"/>
              </w:rPr>
              <w:t>日</w:t>
            </w:r>
          </w:p>
        </w:tc>
      </w:tr>
    </w:tbl>
    <w:p w14:paraId="5599F0B1" w14:textId="4CA97715" w:rsidR="000822AE" w:rsidRDefault="000822AE" w:rsidP="00D1097A">
      <w:pPr>
        <w:rPr>
          <w:rFonts w:ascii="宋体" w:eastAsia="宋体" w:hAnsi="宋体"/>
          <w:sz w:val="20"/>
        </w:rPr>
      </w:pPr>
    </w:p>
    <w:sectPr w:rsidR="000822AE">
      <w:headerReference w:type="default" r:id="rId7"/>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D68599" w14:textId="77777777" w:rsidR="008631A9" w:rsidRDefault="008631A9">
      <w:r>
        <w:separator/>
      </w:r>
    </w:p>
  </w:endnote>
  <w:endnote w:type="continuationSeparator" w:id="0">
    <w:p w14:paraId="113142CB" w14:textId="77777777" w:rsidR="008631A9" w:rsidRDefault="008631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Noto Sans CJK JP Regular">
    <w:altName w:val="HarmonyOS Sans SC Light"/>
    <w:charset w:val="86"/>
    <w:family w:val="swiss"/>
    <w:pitch w:val="default"/>
    <w:sig w:usb0="00000000" w:usb1="00000000" w:usb2="00000016" w:usb3="00000000" w:csb0="002E01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B19679" w14:textId="77777777" w:rsidR="008631A9" w:rsidRDefault="008631A9">
      <w:r>
        <w:separator/>
      </w:r>
    </w:p>
  </w:footnote>
  <w:footnote w:type="continuationSeparator" w:id="0">
    <w:p w14:paraId="3AC94002" w14:textId="77777777" w:rsidR="008631A9" w:rsidRDefault="008631A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887ADC" w14:textId="1C1F0632" w:rsidR="000822AE" w:rsidRDefault="004A6D09">
    <w:pPr>
      <w:pStyle w:val="a7"/>
      <w:rPr>
        <w:rFonts w:ascii="宋体" w:eastAsia="宋体" w:hAnsi="宋体"/>
      </w:rPr>
    </w:pPr>
    <w:r>
      <w:rPr>
        <w:rFonts w:ascii="宋体" w:eastAsia="宋体" w:hAnsi="宋体" w:hint="eastAsia"/>
      </w:rPr>
      <w:t>证券代码：6</w:t>
    </w:r>
    <w:r>
      <w:rPr>
        <w:rFonts w:ascii="宋体" w:eastAsia="宋体" w:hAnsi="宋体"/>
      </w:rPr>
      <w:t>88599</w:t>
    </w:r>
    <w:r>
      <w:rPr>
        <w:rFonts w:ascii="宋体" w:eastAsia="宋体" w:hAnsi="宋体"/>
      </w:rPr>
      <w:ptab w:relativeTo="margin" w:alignment="center" w:leader="none"/>
    </w:r>
    <w:r>
      <w:rPr>
        <w:rFonts w:ascii="宋体" w:eastAsia="宋体" w:hAnsi="宋体"/>
      </w:rPr>
      <w:ptab w:relativeTo="margin" w:alignment="right" w:leader="none"/>
    </w:r>
    <w:r>
      <w:rPr>
        <w:rFonts w:ascii="宋体" w:eastAsia="宋体" w:hAnsi="宋体" w:hint="eastAsia"/>
      </w:rPr>
      <w:t>证券简称：天合光能</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655542"/>
    <w:multiLevelType w:val="multilevel"/>
    <w:tmpl w:val="1D655542"/>
    <w:lvl w:ilvl="0">
      <w:start w:val="1"/>
      <w:numFmt w:val="decimal"/>
      <w:suff w:val="nothing"/>
      <w:lvlText w:val="%1．"/>
      <w:lvlJc w:val="left"/>
      <w:pPr>
        <w:ind w:left="360" w:hanging="360"/>
      </w:pPr>
      <w:rPr>
        <w:rFonts w:hint="default"/>
      </w:rPr>
    </w:lvl>
    <w:lvl w:ilvl="1">
      <w:start w:val="1"/>
      <w:numFmt w:val="decimal"/>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1" w15:restartNumberingAfterBreak="0">
    <w:nsid w:val="320D63FD"/>
    <w:multiLevelType w:val="hybridMultilevel"/>
    <w:tmpl w:val="38CE88BA"/>
    <w:lvl w:ilvl="0" w:tplc="0C64C7FA">
      <w:start w:val="1"/>
      <w:numFmt w:val="decimal"/>
      <w:lvlText w:val="%1、"/>
      <w:lvlJc w:val="left"/>
      <w:pPr>
        <w:ind w:left="440" w:hanging="440"/>
      </w:p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start w:val="1"/>
      <w:numFmt w:val="decimal"/>
      <w:lvlText w:val="%4."/>
      <w:lvlJc w:val="left"/>
      <w:pPr>
        <w:ind w:left="1760" w:hanging="440"/>
      </w:pPr>
    </w:lvl>
    <w:lvl w:ilvl="4" w:tplc="04090019">
      <w:start w:val="1"/>
      <w:numFmt w:val="lowerLetter"/>
      <w:lvlText w:val="%5)"/>
      <w:lvlJc w:val="left"/>
      <w:pPr>
        <w:ind w:left="2200" w:hanging="440"/>
      </w:pPr>
    </w:lvl>
    <w:lvl w:ilvl="5" w:tplc="0409001B">
      <w:start w:val="1"/>
      <w:numFmt w:val="lowerRoman"/>
      <w:lvlText w:val="%6."/>
      <w:lvlJc w:val="right"/>
      <w:pPr>
        <w:ind w:left="2640" w:hanging="440"/>
      </w:pPr>
    </w:lvl>
    <w:lvl w:ilvl="6" w:tplc="0409000F">
      <w:start w:val="1"/>
      <w:numFmt w:val="decimal"/>
      <w:lvlText w:val="%7."/>
      <w:lvlJc w:val="left"/>
      <w:pPr>
        <w:ind w:left="3080" w:hanging="440"/>
      </w:pPr>
    </w:lvl>
    <w:lvl w:ilvl="7" w:tplc="04090019">
      <w:start w:val="1"/>
      <w:numFmt w:val="lowerLetter"/>
      <w:lvlText w:val="%8)"/>
      <w:lvlJc w:val="left"/>
      <w:pPr>
        <w:ind w:left="3520" w:hanging="440"/>
      </w:pPr>
    </w:lvl>
    <w:lvl w:ilvl="8" w:tplc="0409001B">
      <w:start w:val="1"/>
      <w:numFmt w:val="lowerRoman"/>
      <w:lvlText w:val="%9."/>
      <w:lvlJc w:val="right"/>
      <w:pPr>
        <w:ind w:left="3960" w:hanging="440"/>
      </w:pPr>
    </w:lvl>
  </w:abstractNum>
  <w:abstractNum w:abstractNumId="2" w15:restartNumberingAfterBreak="0">
    <w:nsid w:val="38962375"/>
    <w:multiLevelType w:val="hybridMultilevel"/>
    <w:tmpl w:val="30BE35CA"/>
    <w:lvl w:ilvl="0" w:tplc="5CCEACD6">
      <w:start w:val="1"/>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 w15:restartNumberingAfterBreak="0">
    <w:nsid w:val="3A157307"/>
    <w:multiLevelType w:val="hybridMultilevel"/>
    <w:tmpl w:val="6DBE6E80"/>
    <w:lvl w:ilvl="0" w:tplc="823806D4">
      <w:start w:val="1"/>
      <w:numFmt w:val="decimal"/>
      <w:lvlText w:val="%1）"/>
      <w:lvlJc w:val="left"/>
      <w:pPr>
        <w:ind w:left="786" w:hanging="360"/>
      </w:pPr>
    </w:lvl>
    <w:lvl w:ilvl="1" w:tplc="04090019">
      <w:start w:val="1"/>
      <w:numFmt w:val="lowerLetter"/>
      <w:lvlText w:val="%2)"/>
      <w:lvlJc w:val="left"/>
      <w:pPr>
        <w:ind w:left="1306" w:hanging="440"/>
      </w:pPr>
    </w:lvl>
    <w:lvl w:ilvl="2" w:tplc="0409001B">
      <w:start w:val="1"/>
      <w:numFmt w:val="lowerRoman"/>
      <w:lvlText w:val="%3."/>
      <w:lvlJc w:val="right"/>
      <w:pPr>
        <w:ind w:left="1746" w:hanging="440"/>
      </w:pPr>
    </w:lvl>
    <w:lvl w:ilvl="3" w:tplc="0409000F">
      <w:start w:val="1"/>
      <w:numFmt w:val="decimal"/>
      <w:lvlText w:val="%4."/>
      <w:lvlJc w:val="left"/>
      <w:pPr>
        <w:ind w:left="2186" w:hanging="440"/>
      </w:pPr>
    </w:lvl>
    <w:lvl w:ilvl="4" w:tplc="04090019">
      <w:start w:val="1"/>
      <w:numFmt w:val="lowerLetter"/>
      <w:lvlText w:val="%5)"/>
      <w:lvlJc w:val="left"/>
      <w:pPr>
        <w:ind w:left="2626" w:hanging="440"/>
      </w:pPr>
    </w:lvl>
    <w:lvl w:ilvl="5" w:tplc="0409001B">
      <w:start w:val="1"/>
      <w:numFmt w:val="lowerRoman"/>
      <w:lvlText w:val="%6."/>
      <w:lvlJc w:val="right"/>
      <w:pPr>
        <w:ind w:left="3066" w:hanging="440"/>
      </w:pPr>
    </w:lvl>
    <w:lvl w:ilvl="6" w:tplc="0409000F">
      <w:start w:val="1"/>
      <w:numFmt w:val="decimal"/>
      <w:lvlText w:val="%7."/>
      <w:lvlJc w:val="left"/>
      <w:pPr>
        <w:ind w:left="3506" w:hanging="440"/>
      </w:pPr>
    </w:lvl>
    <w:lvl w:ilvl="7" w:tplc="04090019">
      <w:start w:val="1"/>
      <w:numFmt w:val="lowerLetter"/>
      <w:lvlText w:val="%8)"/>
      <w:lvlJc w:val="left"/>
      <w:pPr>
        <w:ind w:left="3946" w:hanging="440"/>
      </w:pPr>
    </w:lvl>
    <w:lvl w:ilvl="8" w:tplc="0409001B">
      <w:start w:val="1"/>
      <w:numFmt w:val="lowerRoman"/>
      <w:lvlText w:val="%9."/>
      <w:lvlJc w:val="right"/>
      <w:pPr>
        <w:ind w:left="4386" w:hanging="440"/>
      </w:pPr>
    </w:lvl>
  </w:abstractNum>
  <w:abstractNum w:abstractNumId="4" w15:restartNumberingAfterBreak="0">
    <w:nsid w:val="3B7836CB"/>
    <w:multiLevelType w:val="hybridMultilevel"/>
    <w:tmpl w:val="4A5AC552"/>
    <w:lvl w:ilvl="0" w:tplc="0409000B">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start w:val="1"/>
      <w:numFmt w:val="bullet"/>
      <w:lvlText w:val=""/>
      <w:lvlJc w:val="left"/>
      <w:pPr>
        <w:ind w:left="1760" w:hanging="440"/>
      </w:pPr>
      <w:rPr>
        <w:rFonts w:ascii="Wingdings" w:hAnsi="Wingdings" w:hint="default"/>
      </w:rPr>
    </w:lvl>
    <w:lvl w:ilvl="4" w:tplc="04090003">
      <w:start w:val="1"/>
      <w:numFmt w:val="bullet"/>
      <w:lvlText w:val=""/>
      <w:lvlJc w:val="left"/>
      <w:pPr>
        <w:ind w:left="2200" w:hanging="440"/>
      </w:pPr>
      <w:rPr>
        <w:rFonts w:ascii="Wingdings" w:hAnsi="Wingdings" w:hint="default"/>
      </w:rPr>
    </w:lvl>
    <w:lvl w:ilvl="5" w:tplc="04090005">
      <w:start w:val="1"/>
      <w:numFmt w:val="bullet"/>
      <w:lvlText w:val=""/>
      <w:lvlJc w:val="left"/>
      <w:pPr>
        <w:ind w:left="2640" w:hanging="440"/>
      </w:pPr>
      <w:rPr>
        <w:rFonts w:ascii="Wingdings" w:hAnsi="Wingdings" w:hint="default"/>
      </w:rPr>
    </w:lvl>
    <w:lvl w:ilvl="6" w:tplc="04090001">
      <w:start w:val="1"/>
      <w:numFmt w:val="bullet"/>
      <w:lvlText w:val=""/>
      <w:lvlJc w:val="left"/>
      <w:pPr>
        <w:ind w:left="3080" w:hanging="440"/>
      </w:pPr>
      <w:rPr>
        <w:rFonts w:ascii="Wingdings" w:hAnsi="Wingdings" w:hint="default"/>
      </w:rPr>
    </w:lvl>
    <w:lvl w:ilvl="7" w:tplc="04090003">
      <w:start w:val="1"/>
      <w:numFmt w:val="bullet"/>
      <w:lvlText w:val=""/>
      <w:lvlJc w:val="left"/>
      <w:pPr>
        <w:ind w:left="3520" w:hanging="440"/>
      </w:pPr>
      <w:rPr>
        <w:rFonts w:ascii="Wingdings" w:hAnsi="Wingdings" w:hint="default"/>
      </w:rPr>
    </w:lvl>
    <w:lvl w:ilvl="8" w:tplc="04090005">
      <w:start w:val="1"/>
      <w:numFmt w:val="bullet"/>
      <w:lvlText w:val=""/>
      <w:lvlJc w:val="left"/>
      <w:pPr>
        <w:ind w:left="3960" w:hanging="440"/>
      </w:pPr>
      <w:rPr>
        <w:rFonts w:ascii="Wingdings" w:hAnsi="Wingdings" w:hint="default"/>
      </w:rPr>
    </w:lvl>
  </w:abstractNum>
  <w:abstractNum w:abstractNumId="5" w15:restartNumberingAfterBreak="0">
    <w:nsid w:val="3C693F31"/>
    <w:multiLevelType w:val="hybridMultilevel"/>
    <w:tmpl w:val="2DDE07D8"/>
    <w:lvl w:ilvl="0" w:tplc="3FDA1F32">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6" w15:restartNumberingAfterBreak="0">
    <w:nsid w:val="429C2474"/>
    <w:multiLevelType w:val="hybridMultilevel"/>
    <w:tmpl w:val="21FE56FC"/>
    <w:lvl w:ilvl="0" w:tplc="57B050E0">
      <w:start w:val="1"/>
      <w:numFmt w:val="decimalEnclosedCircle"/>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7" w15:restartNumberingAfterBreak="0">
    <w:nsid w:val="65506873"/>
    <w:multiLevelType w:val="hybridMultilevel"/>
    <w:tmpl w:val="9282F65C"/>
    <w:lvl w:ilvl="0" w:tplc="0409000B">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start w:val="1"/>
      <w:numFmt w:val="bullet"/>
      <w:lvlText w:val=""/>
      <w:lvlJc w:val="left"/>
      <w:pPr>
        <w:ind w:left="1760" w:hanging="440"/>
      </w:pPr>
      <w:rPr>
        <w:rFonts w:ascii="Wingdings" w:hAnsi="Wingdings" w:hint="default"/>
      </w:rPr>
    </w:lvl>
    <w:lvl w:ilvl="4" w:tplc="04090003">
      <w:start w:val="1"/>
      <w:numFmt w:val="bullet"/>
      <w:lvlText w:val=""/>
      <w:lvlJc w:val="left"/>
      <w:pPr>
        <w:ind w:left="2200" w:hanging="440"/>
      </w:pPr>
      <w:rPr>
        <w:rFonts w:ascii="Wingdings" w:hAnsi="Wingdings" w:hint="default"/>
      </w:rPr>
    </w:lvl>
    <w:lvl w:ilvl="5" w:tplc="04090005">
      <w:start w:val="1"/>
      <w:numFmt w:val="bullet"/>
      <w:lvlText w:val=""/>
      <w:lvlJc w:val="left"/>
      <w:pPr>
        <w:ind w:left="2640" w:hanging="440"/>
      </w:pPr>
      <w:rPr>
        <w:rFonts w:ascii="Wingdings" w:hAnsi="Wingdings" w:hint="default"/>
      </w:rPr>
    </w:lvl>
    <w:lvl w:ilvl="6" w:tplc="04090001">
      <w:start w:val="1"/>
      <w:numFmt w:val="bullet"/>
      <w:lvlText w:val=""/>
      <w:lvlJc w:val="left"/>
      <w:pPr>
        <w:ind w:left="3080" w:hanging="440"/>
      </w:pPr>
      <w:rPr>
        <w:rFonts w:ascii="Wingdings" w:hAnsi="Wingdings" w:hint="default"/>
      </w:rPr>
    </w:lvl>
    <w:lvl w:ilvl="7" w:tplc="04090003">
      <w:start w:val="1"/>
      <w:numFmt w:val="bullet"/>
      <w:lvlText w:val=""/>
      <w:lvlJc w:val="left"/>
      <w:pPr>
        <w:ind w:left="3520" w:hanging="440"/>
      </w:pPr>
      <w:rPr>
        <w:rFonts w:ascii="Wingdings" w:hAnsi="Wingdings" w:hint="default"/>
      </w:rPr>
    </w:lvl>
    <w:lvl w:ilvl="8" w:tplc="04090005">
      <w:start w:val="1"/>
      <w:numFmt w:val="bullet"/>
      <w:lvlText w:val=""/>
      <w:lvlJc w:val="left"/>
      <w:pPr>
        <w:ind w:left="3960" w:hanging="440"/>
      </w:pPr>
      <w:rPr>
        <w:rFonts w:ascii="Wingdings" w:hAnsi="Wingdings" w:hint="default"/>
      </w:rPr>
    </w:lvl>
  </w:abstractNum>
  <w:abstractNum w:abstractNumId="8" w15:restartNumberingAfterBreak="0">
    <w:nsid w:val="6937343C"/>
    <w:multiLevelType w:val="hybridMultilevel"/>
    <w:tmpl w:val="2222E43A"/>
    <w:lvl w:ilvl="0" w:tplc="FFFFFFFF">
      <w:start w:val="1"/>
      <w:numFmt w:val="decimal"/>
      <w:lvlText w:val="%1、"/>
      <w:lvlJc w:val="left"/>
      <w:pPr>
        <w:ind w:left="6171" w:hanging="360"/>
      </w:pPr>
    </w:lvl>
    <w:lvl w:ilvl="1" w:tplc="2B548BCE">
      <w:start w:val="1"/>
      <w:numFmt w:val="decimal"/>
      <w:lvlText w:val="%2）"/>
      <w:lvlJc w:val="left"/>
      <w:pPr>
        <w:ind w:left="800" w:hanging="360"/>
      </w:pPr>
    </w:lvl>
    <w:lvl w:ilvl="2" w:tplc="FFFFFFFF">
      <w:start w:val="1"/>
      <w:numFmt w:val="lowerRoman"/>
      <w:lvlText w:val="%3."/>
      <w:lvlJc w:val="right"/>
      <w:pPr>
        <w:ind w:left="1320" w:hanging="440"/>
      </w:pPr>
    </w:lvl>
    <w:lvl w:ilvl="3" w:tplc="FFFFFFFF">
      <w:start w:val="1"/>
      <w:numFmt w:val="decimal"/>
      <w:lvlText w:val="%4."/>
      <w:lvlJc w:val="left"/>
      <w:pPr>
        <w:ind w:left="1760" w:hanging="440"/>
      </w:pPr>
    </w:lvl>
    <w:lvl w:ilvl="4" w:tplc="FFFFFFFF">
      <w:start w:val="1"/>
      <w:numFmt w:val="lowerLetter"/>
      <w:lvlText w:val="%5)"/>
      <w:lvlJc w:val="left"/>
      <w:pPr>
        <w:ind w:left="2200" w:hanging="440"/>
      </w:pPr>
    </w:lvl>
    <w:lvl w:ilvl="5" w:tplc="FFFFFFFF">
      <w:start w:val="1"/>
      <w:numFmt w:val="lowerRoman"/>
      <w:lvlText w:val="%6."/>
      <w:lvlJc w:val="right"/>
      <w:pPr>
        <w:ind w:left="2640" w:hanging="440"/>
      </w:pPr>
    </w:lvl>
    <w:lvl w:ilvl="6" w:tplc="FFFFFFFF">
      <w:start w:val="1"/>
      <w:numFmt w:val="decimal"/>
      <w:lvlText w:val="%7."/>
      <w:lvlJc w:val="left"/>
      <w:pPr>
        <w:ind w:left="3080" w:hanging="440"/>
      </w:pPr>
    </w:lvl>
    <w:lvl w:ilvl="7" w:tplc="FFFFFFFF">
      <w:start w:val="1"/>
      <w:numFmt w:val="lowerLetter"/>
      <w:lvlText w:val="%8)"/>
      <w:lvlJc w:val="left"/>
      <w:pPr>
        <w:ind w:left="3520" w:hanging="440"/>
      </w:pPr>
    </w:lvl>
    <w:lvl w:ilvl="8" w:tplc="FFFFFFFF">
      <w:start w:val="1"/>
      <w:numFmt w:val="lowerRoman"/>
      <w:lvlText w:val="%9."/>
      <w:lvlJc w:val="right"/>
      <w:pPr>
        <w:ind w:left="3960" w:hanging="44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2"/>
  </w:num>
  <w:num w:numId="7">
    <w:abstractNumId w:val="7"/>
  </w:num>
  <w:num w:numId="8">
    <w:abstractNumId w:val="4"/>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B4"/>
    <w:rsid w:val="B59B74B3"/>
    <w:rsid w:val="D3FFDBCA"/>
    <w:rsid w:val="EFDE42B3"/>
    <w:rsid w:val="FCFF4AB2"/>
    <w:rsid w:val="00001B4D"/>
    <w:rsid w:val="0000741E"/>
    <w:rsid w:val="00016F90"/>
    <w:rsid w:val="00021389"/>
    <w:rsid w:val="00032A09"/>
    <w:rsid w:val="00032A4D"/>
    <w:rsid w:val="0003634A"/>
    <w:rsid w:val="00052D82"/>
    <w:rsid w:val="000535B6"/>
    <w:rsid w:val="000600FB"/>
    <w:rsid w:val="000602B5"/>
    <w:rsid w:val="0006186F"/>
    <w:rsid w:val="00063270"/>
    <w:rsid w:val="000671B4"/>
    <w:rsid w:val="000672FC"/>
    <w:rsid w:val="000708B4"/>
    <w:rsid w:val="00072DB9"/>
    <w:rsid w:val="00076F23"/>
    <w:rsid w:val="000822AE"/>
    <w:rsid w:val="00086F3A"/>
    <w:rsid w:val="00090600"/>
    <w:rsid w:val="00096F73"/>
    <w:rsid w:val="000A0683"/>
    <w:rsid w:val="000B2247"/>
    <w:rsid w:val="000C1419"/>
    <w:rsid w:val="000C3792"/>
    <w:rsid w:val="000C3A8F"/>
    <w:rsid w:val="000C7374"/>
    <w:rsid w:val="000F035F"/>
    <w:rsid w:val="000F0EF2"/>
    <w:rsid w:val="000F27D5"/>
    <w:rsid w:val="0011039C"/>
    <w:rsid w:val="0012457F"/>
    <w:rsid w:val="00127FC4"/>
    <w:rsid w:val="001305AA"/>
    <w:rsid w:val="001351E9"/>
    <w:rsid w:val="0013706C"/>
    <w:rsid w:val="00146077"/>
    <w:rsid w:val="001554F9"/>
    <w:rsid w:val="001638AC"/>
    <w:rsid w:val="00163E5C"/>
    <w:rsid w:val="00171BD5"/>
    <w:rsid w:val="00173C10"/>
    <w:rsid w:val="001763FD"/>
    <w:rsid w:val="00176B2E"/>
    <w:rsid w:val="00177C4D"/>
    <w:rsid w:val="0018283A"/>
    <w:rsid w:val="00184A1E"/>
    <w:rsid w:val="00193ECB"/>
    <w:rsid w:val="00194586"/>
    <w:rsid w:val="001A4521"/>
    <w:rsid w:val="001B2FFE"/>
    <w:rsid w:val="001B5E14"/>
    <w:rsid w:val="001C363F"/>
    <w:rsid w:val="001C3EED"/>
    <w:rsid w:val="001D07F1"/>
    <w:rsid w:val="001E254C"/>
    <w:rsid w:val="001F397D"/>
    <w:rsid w:val="002060EB"/>
    <w:rsid w:val="00240227"/>
    <w:rsid w:val="00243714"/>
    <w:rsid w:val="00255719"/>
    <w:rsid w:val="00276EBC"/>
    <w:rsid w:val="002803D1"/>
    <w:rsid w:val="0028199C"/>
    <w:rsid w:val="002839FD"/>
    <w:rsid w:val="00290C21"/>
    <w:rsid w:val="00291483"/>
    <w:rsid w:val="002A0A81"/>
    <w:rsid w:val="002A7179"/>
    <w:rsid w:val="002B3A46"/>
    <w:rsid w:val="002B477F"/>
    <w:rsid w:val="002B71D2"/>
    <w:rsid w:val="002B791E"/>
    <w:rsid w:val="002D3182"/>
    <w:rsid w:val="002D454A"/>
    <w:rsid w:val="002D50FD"/>
    <w:rsid w:val="002D7DDF"/>
    <w:rsid w:val="002F763C"/>
    <w:rsid w:val="00301AEF"/>
    <w:rsid w:val="003063D5"/>
    <w:rsid w:val="0031322F"/>
    <w:rsid w:val="00326359"/>
    <w:rsid w:val="00332C80"/>
    <w:rsid w:val="00345EE7"/>
    <w:rsid w:val="003539F0"/>
    <w:rsid w:val="00376659"/>
    <w:rsid w:val="003824D4"/>
    <w:rsid w:val="003855E9"/>
    <w:rsid w:val="00392056"/>
    <w:rsid w:val="00396F7D"/>
    <w:rsid w:val="00397B33"/>
    <w:rsid w:val="003C4699"/>
    <w:rsid w:val="003D19A7"/>
    <w:rsid w:val="003D7D8D"/>
    <w:rsid w:val="00410527"/>
    <w:rsid w:val="00420556"/>
    <w:rsid w:val="004261B3"/>
    <w:rsid w:val="004315F4"/>
    <w:rsid w:val="004339AD"/>
    <w:rsid w:val="004361B4"/>
    <w:rsid w:val="00444911"/>
    <w:rsid w:val="00444BC0"/>
    <w:rsid w:val="004571B2"/>
    <w:rsid w:val="0046350A"/>
    <w:rsid w:val="0047238E"/>
    <w:rsid w:val="00483FA8"/>
    <w:rsid w:val="00490F04"/>
    <w:rsid w:val="004920A9"/>
    <w:rsid w:val="004A2BFF"/>
    <w:rsid w:val="004A352D"/>
    <w:rsid w:val="004A6D09"/>
    <w:rsid w:val="004B433A"/>
    <w:rsid w:val="004B6CB5"/>
    <w:rsid w:val="004C2C96"/>
    <w:rsid w:val="004C3AE2"/>
    <w:rsid w:val="004C5400"/>
    <w:rsid w:val="004C7455"/>
    <w:rsid w:val="004E2903"/>
    <w:rsid w:val="004E5CD2"/>
    <w:rsid w:val="004F3540"/>
    <w:rsid w:val="00520ED7"/>
    <w:rsid w:val="00525D67"/>
    <w:rsid w:val="00532C32"/>
    <w:rsid w:val="005345F1"/>
    <w:rsid w:val="005462EF"/>
    <w:rsid w:val="00555A60"/>
    <w:rsid w:val="005573AA"/>
    <w:rsid w:val="0057648F"/>
    <w:rsid w:val="00580CAF"/>
    <w:rsid w:val="00580E91"/>
    <w:rsid w:val="00585A72"/>
    <w:rsid w:val="00585D77"/>
    <w:rsid w:val="00595FE3"/>
    <w:rsid w:val="005A326D"/>
    <w:rsid w:val="005E3907"/>
    <w:rsid w:val="00600DD5"/>
    <w:rsid w:val="00602954"/>
    <w:rsid w:val="00623865"/>
    <w:rsid w:val="006376F1"/>
    <w:rsid w:val="006472AB"/>
    <w:rsid w:val="00647F1D"/>
    <w:rsid w:val="0065329B"/>
    <w:rsid w:val="00654EB0"/>
    <w:rsid w:val="00655BBA"/>
    <w:rsid w:val="00660F67"/>
    <w:rsid w:val="00662DE3"/>
    <w:rsid w:val="006725A4"/>
    <w:rsid w:val="0067528F"/>
    <w:rsid w:val="00685A77"/>
    <w:rsid w:val="006911C0"/>
    <w:rsid w:val="006946E1"/>
    <w:rsid w:val="00695E7E"/>
    <w:rsid w:val="006A350B"/>
    <w:rsid w:val="006C5322"/>
    <w:rsid w:val="006E0DB5"/>
    <w:rsid w:val="006E3153"/>
    <w:rsid w:val="006F2D4D"/>
    <w:rsid w:val="006F319E"/>
    <w:rsid w:val="006F3C78"/>
    <w:rsid w:val="006F6E81"/>
    <w:rsid w:val="007003A0"/>
    <w:rsid w:val="007017E1"/>
    <w:rsid w:val="00702179"/>
    <w:rsid w:val="00706436"/>
    <w:rsid w:val="00713CED"/>
    <w:rsid w:val="00715779"/>
    <w:rsid w:val="0072439B"/>
    <w:rsid w:val="007261B5"/>
    <w:rsid w:val="00747592"/>
    <w:rsid w:val="00752401"/>
    <w:rsid w:val="007803AD"/>
    <w:rsid w:val="0078274E"/>
    <w:rsid w:val="0078529C"/>
    <w:rsid w:val="00793E7D"/>
    <w:rsid w:val="007A0472"/>
    <w:rsid w:val="007A655E"/>
    <w:rsid w:val="007B758A"/>
    <w:rsid w:val="007C1592"/>
    <w:rsid w:val="007C653D"/>
    <w:rsid w:val="007D0582"/>
    <w:rsid w:val="007D13EE"/>
    <w:rsid w:val="007D1855"/>
    <w:rsid w:val="007E78C1"/>
    <w:rsid w:val="007F63DD"/>
    <w:rsid w:val="007F70AD"/>
    <w:rsid w:val="00800EA4"/>
    <w:rsid w:val="00805229"/>
    <w:rsid w:val="00807277"/>
    <w:rsid w:val="008146C0"/>
    <w:rsid w:val="00817212"/>
    <w:rsid w:val="0083781A"/>
    <w:rsid w:val="0084638D"/>
    <w:rsid w:val="00856E27"/>
    <w:rsid w:val="008631A9"/>
    <w:rsid w:val="0087120E"/>
    <w:rsid w:val="008851E7"/>
    <w:rsid w:val="00886E7E"/>
    <w:rsid w:val="008A2403"/>
    <w:rsid w:val="008D06EC"/>
    <w:rsid w:val="008E2CA4"/>
    <w:rsid w:val="008F21CB"/>
    <w:rsid w:val="008F5F69"/>
    <w:rsid w:val="00902F93"/>
    <w:rsid w:val="00904041"/>
    <w:rsid w:val="00904380"/>
    <w:rsid w:val="0091054A"/>
    <w:rsid w:val="00916E80"/>
    <w:rsid w:val="009219D5"/>
    <w:rsid w:val="00922D1E"/>
    <w:rsid w:val="009304AE"/>
    <w:rsid w:val="00930CB4"/>
    <w:rsid w:val="009312D6"/>
    <w:rsid w:val="00943855"/>
    <w:rsid w:val="00944D38"/>
    <w:rsid w:val="00955000"/>
    <w:rsid w:val="00956A36"/>
    <w:rsid w:val="00965A27"/>
    <w:rsid w:val="00977CA1"/>
    <w:rsid w:val="00980FFC"/>
    <w:rsid w:val="00982D71"/>
    <w:rsid w:val="00987FAF"/>
    <w:rsid w:val="009904E6"/>
    <w:rsid w:val="00992D1C"/>
    <w:rsid w:val="009B3131"/>
    <w:rsid w:val="009B491B"/>
    <w:rsid w:val="009D67AB"/>
    <w:rsid w:val="00A00092"/>
    <w:rsid w:val="00A045A6"/>
    <w:rsid w:val="00A127DA"/>
    <w:rsid w:val="00A146E9"/>
    <w:rsid w:val="00A2376C"/>
    <w:rsid w:val="00A36A44"/>
    <w:rsid w:val="00A42BDE"/>
    <w:rsid w:val="00A47FEB"/>
    <w:rsid w:val="00A81BE3"/>
    <w:rsid w:val="00A87BEE"/>
    <w:rsid w:val="00A9182B"/>
    <w:rsid w:val="00AA0670"/>
    <w:rsid w:val="00AA4B75"/>
    <w:rsid w:val="00AC4720"/>
    <w:rsid w:val="00AC75AC"/>
    <w:rsid w:val="00AE335E"/>
    <w:rsid w:val="00AF0641"/>
    <w:rsid w:val="00B051DD"/>
    <w:rsid w:val="00B33744"/>
    <w:rsid w:val="00B36D41"/>
    <w:rsid w:val="00B43404"/>
    <w:rsid w:val="00B43638"/>
    <w:rsid w:val="00B5116C"/>
    <w:rsid w:val="00B556D9"/>
    <w:rsid w:val="00B56C40"/>
    <w:rsid w:val="00B65B5E"/>
    <w:rsid w:val="00B701C9"/>
    <w:rsid w:val="00B704D0"/>
    <w:rsid w:val="00B85C57"/>
    <w:rsid w:val="00BA64A1"/>
    <w:rsid w:val="00BB0329"/>
    <w:rsid w:val="00BC02B6"/>
    <w:rsid w:val="00BC4C3E"/>
    <w:rsid w:val="00BC522E"/>
    <w:rsid w:val="00BC68F2"/>
    <w:rsid w:val="00BD02F2"/>
    <w:rsid w:val="00C055B4"/>
    <w:rsid w:val="00C06784"/>
    <w:rsid w:val="00C36862"/>
    <w:rsid w:val="00C57715"/>
    <w:rsid w:val="00C57A48"/>
    <w:rsid w:val="00C62645"/>
    <w:rsid w:val="00C733C8"/>
    <w:rsid w:val="00C876C9"/>
    <w:rsid w:val="00C97858"/>
    <w:rsid w:val="00CA00EB"/>
    <w:rsid w:val="00CA0618"/>
    <w:rsid w:val="00CA1DC2"/>
    <w:rsid w:val="00CA3B9F"/>
    <w:rsid w:val="00CC3631"/>
    <w:rsid w:val="00CC6615"/>
    <w:rsid w:val="00CC7668"/>
    <w:rsid w:val="00CF33A4"/>
    <w:rsid w:val="00CF43A9"/>
    <w:rsid w:val="00CF4C76"/>
    <w:rsid w:val="00CF6A74"/>
    <w:rsid w:val="00D1097A"/>
    <w:rsid w:val="00D1472F"/>
    <w:rsid w:val="00D14823"/>
    <w:rsid w:val="00D228B0"/>
    <w:rsid w:val="00D357EE"/>
    <w:rsid w:val="00D43D03"/>
    <w:rsid w:val="00D47458"/>
    <w:rsid w:val="00D5107F"/>
    <w:rsid w:val="00D623D1"/>
    <w:rsid w:val="00D72D83"/>
    <w:rsid w:val="00D80CE0"/>
    <w:rsid w:val="00D97E7C"/>
    <w:rsid w:val="00DB4645"/>
    <w:rsid w:val="00DB67E8"/>
    <w:rsid w:val="00DC1C54"/>
    <w:rsid w:val="00DC2415"/>
    <w:rsid w:val="00DC622F"/>
    <w:rsid w:val="00DD3FBD"/>
    <w:rsid w:val="00DE16C5"/>
    <w:rsid w:val="00DE71B1"/>
    <w:rsid w:val="00DF505F"/>
    <w:rsid w:val="00DF55E7"/>
    <w:rsid w:val="00DF73B2"/>
    <w:rsid w:val="00E03463"/>
    <w:rsid w:val="00E048E9"/>
    <w:rsid w:val="00E05784"/>
    <w:rsid w:val="00E059A4"/>
    <w:rsid w:val="00E157BE"/>
    <w:rsid w:val="00E15D38"/>
    <w:rsid w:val="00E304D9"/>
    <w:rsid w:val="00E357F8"/>
    <w:rsid w:val="00E37941"/>
    <w:rsid w:val="00E4547F"/>
    <w:rsid w:val="00E45931"/>
    <w:rsid w:val="00E46941"/>
    <w:rsid w:val="00E62E35"/>
    <w:rsid w:val="00E72CC2"/>
    <w:rsid w:val="00E914F3"/>
    <w:rsid w:val="00E92C9B"/>
    <w:rsid w:val="00E97E72"/>
    <w:rsid w:val="00EA1CBB"/>
    <w:rsid w:val="00EA239E"/>
    <w:rsid w:val="00EA2957"/>
    <w:rsid w:val="00EA7A96"/>
    <w:rsid w:val="00EB3AF4"/>
    <w:rsid w:val="00EB41E5"/>
    <w:rsid w:val="00EB610A"/>
    <w:rsid w:val="00EC7DF3"/>
    <w:rsid w:val="00ED6D7C"/>
    <w:rsid w:val="00EF0C0A"/>
    <w:rsid w:val="00EF7D58"/>
    <w:rsid w:val="00F0068F"/>
    <w:rsid w:val="00F111D0"/>
    <w:rsid w:val="00F14E7E"/>
    <w:rsid w:val="00F37EED"/>
    <w:rsid w:val="00F42130"/>
    <w:rsid w:val="00F4268B"/>
    <w:rsid w:val="00F45E2C"/>
    <w:rsid w:val="00F4780C"/>
    <w:rsid w:val="00F51CE2"/>
    <w:rsid w:val="00F539A4"/>
    <w:rsid w:val="00F5522B"/>
    <w:rsid w:val="00F643A5"/>
    <w:rsid w:val="00F64AB7"/>
    <w:rsid w:val="00F66625"/>
    <w:rsid w:val="00F672FB"/>
    <w:rsid w:val="00F72B30"/>
    <w:rsid w:val="00F936F0"/>
    <w:rsid w:val="00F973FF"/>
    <w:rsid w:val="00FB228B"/>
    <w:rsid w:val="00FD1D73"/>
    <w:rsid w:val="00FD3254"/>
    <w:rsid w:val="00FF217C"/>
    <w:rsid w:val="00FF3C43"/>
    <w:rsid w:val="2A6F2F01"/>
    <w:rsid w:val="63FB96B2"/>
    <w:rsid w:val="7CBD7C2A"/>
    <w:rsid w:val="7FFE8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126D915"/>
  <w15:docId w15:val="{FD249513-1E44-470A-A0F3-AA557AC90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Title"/>
    <w:basedOn w:val="a"/>
    <w:next w:val="a"/>
    <w:link w:val="aa"/>
    <w:uiPriority w:val="10"/>
    <w:qFormat/>
    <w:pPr>
      <w:spacing w:before="120" w:after="120"/>
      <w:ind w:firstLineChars="200" w:firstLine="200"/>
      <w:jc w:val="left"/>
      <w:outlineLvl w:val="0"/>
    </w:pPr>
    <w:rPr>
      <w:rFonts w:asciiTheme="majorHAnsi" w:hAnsiTheme="majorHAnsi" w:cstheme="majorBidi"/>
      <w:bCs/>
      <w:szCs w:val="32"/>
    </w:rPr>
  </w:style>
  <w:style w:type="table" w:styleId="ab">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脚 字符"/>
    <w:basedOn w:val="a0"/>
    <w:link w:val="a5"/>
    <w:uiPriority w:val="99"/>
    <w:rPr>
      <w:sz w:val="18"/>
      <w:szCs w:val="18"/>
    </w:rPr>
  </w:style>
  <w:style w:type="paragraph" w:customStyle="1" w:styleId="Default">
    <w:name w:val="Default"/>
    <w:pPr>
      <w:widowControl w:val="0"/>
      <w:autoSpaceDE w:val="0"/>
      <w:autoSpaceDN w:val="0"/>
      <w:adjustRightInd w:val="0"/>
    </w:pPr>
    <w:rPr>
      <w:rFonts w:ascii="Calibri" w:eastAsiaTheme="minorEastAsia" w:hAnsi="Calibri" w:cs="Calibri"/>
      <w:color w:val="000000"/>
      <w:sz w:val="24"/>
      <w:szCs w:val="24"/>
    </w:rPr>
  </w:style>
  <w:style w:type="table" w:customStyle="1" w:styleId="1">
    <w:name w:val="网格型1"/>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rPr>
      <w:sz w:val="18"/>
      <w:szCs w:val="18"/>
    </w:rPr>
  </w:style>
  <w:style w:type="character" w:customStyle="1" w:styleId="a4">
    <w:name w:val="批注框文本 字符"/>
    <w:basedOn w:val="a0"/>
    <w:link w:val="a3"/>
    <w:uiPriority w:val="99"/>
    <w:semiHidden/>
    <w:rPr>
      <w:sz w:val="18"/>
      <w:szCs w:val="18"/>
    </w:rPr>
  </w:style>
  <w:style w:type="paragraph" w:customStyle="1" w:styleId="10">
    <w:name w:val="列表段落1"/>
    <w:basedOn w:val="a"/>
    <w:uiPriority w:val="34"/>
    <w:qFormat/>
    <w:pPr>
      <w:ind w:firstLineChars="200" w:firstLine="420"/>
    </w:pPr>
  </w:style>
  <w:style w:type="character" w:customStyle="1" w:styleId="aa">
    <w:name w:val="标题 字符"/>
    <w:basedOn w:val="a0"/>
    <w:link w:val="a9"/>
    <w:uiPriority w:val="10"/>
    <w:rPr>
      <w:rFonts w:asciiTheme="majorHAnsi" w:hAnsiTheme="majorHAnsi" w:cstheme="majorBidi"/>
      <w:bCs/>
      <w:szCs w:val="32"/>
    </w:rPr>
  </w:style>
  <w:style w:type="paragraph" w:styleId="ac">
    <w:name w:val="List Paragraph"/>
    <w:basedOn w:val="a"/>
    <w:uiPriority w:val="34"/>
    <w:qFormat/>
    <w:pPr>
      <w:ind w:firstLineChars="200" w:firstLine="420"/>
    </w:pPr>
  </w:style>
  <w:style w:type="paragraph" w:styleId="ad">
    <w:name w:val="Normal (Web)"/>
    <w:basedOn w:val="a"/>
    <w:uiPriority w:val="99"/>
    <w:semiHidden/>
    <w:unhideWhenUsed/>
    <w:rsid w:val="00C57715"/>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621445">
      <w:bodyDiv w:val="1"/>
      <w:marLeft w:val="0"/>
      <w:marRight w:val="0"/>
      <w:marTop w:val="0"/>
      <w:marBottom w:val="0"/>
      <w:divBdr>
        <w:top w:val="none" w:sz="0" w:space="0" w:color="auto"/>
        <w:left w:val="none" w:sz="0" w:space="0" w:color="auto"/>
        <w:bottom w:val="none" w:sz="0" w:space="0" w:color="auto"/>
        <w:right w:val="none" w:sz="0" w:space="0" w:color="auto"/>
      </w:divBdr>
    </w:div>
    <w:div w:id="71662065">
      <w:bodyDiv w:val="1"/>
      <w:marLeft w:val="0"/>
      <w:marRight w:val="0"/>
      <w:marTop w:val="0"/>
      <w:marBottom w:val="0"/>
      <w:divBdr>
        <w:top w:val="none" w:sz="0" w:space="0" w:color="auto"/>
        <w:left w:val="none" w:sz="0" w:space="0" w:color="auto"/>
        <w:bottom w:val="none" w:sz="0" w:space="0" w:color="auto"/>
        <w:right w:val="none" w:sz="0" w:space="0" w:color="auto"/>
      </w:divBdr>
    </w:div>
    <w:div w:id="72627196">
      <w:bodyDiv w:val="1"/>
      <w:marLeft w:val="0"/>
      <w:marRight w:val="0"/>
      <w:marTop w:val="0"/>
      <w:marBottom w:val="0"/>
      <w:divBdr>
        <w:top w:val="none" w:sz="0" w:space="0" w:color="auto"/>
        <w:left w:val="none" w:sz="0" w:space="0" w:color="auto"/>
        <w:bottom w:val="none" w:sz="0" w:space="0" w:color="auto"/>
        <w:right w:val="none" w:sz="0" w:space="0" w:color="auto"/>
      </w:divBdr>
    </w:div>
    <w:div w:id="118841109">
      <w:bodyDiv w:val="1"/>
      <w:marLeft w:val="0"/>
      <w:marRight w:val="0"/>
      <w:marTop w:val="0"/>
      <w:marBottom w:val="0"/>
      <w:divBdr>
        <w:top w:val="none" w:sz="0" w:space="0" w:color="auto"/>
        <w:left w:val="none" w:sz="0" w:space="0" w:color="auto"/>
        <w:bottom w:val="none" w:sz="0" w:space="0" w:color="auto"/>
        <w:right w:val="none" w:sz="0" w:space="0" w:color="auto"/>
      </w:divBdr>
    </w:div>
    <w:div w:id="128911028">
      <w:bodyDiv w:val="1"/>
      <w:marLeft w:val="0"/>
      <w:marRight w:val="0"/>
      <w:marTop w:val="0"/>
      <w:marBottom w:val="0"/>
      <w:divBdr>
        <w:top w:val="none" w:sz="0" w:space="0" w:color="auto"/>
        <w:left w:val="none" w:sz="0" w:space="0" w:color="auto"/>
        <w:bottom w:val="none" w:sz="0" w:space="0" w:color="auto"/>
        <w:right w:val="none" w:sz="0" w:space="0" w:color="auto"/>
      </w:divBdr>
    </w:div>
    <w:div w:id="140932282">
      <w:bodyDiv w:val="1"/>
      <w:marLeft w:val="0"/>
      <w:marRight w:val="0"/>
      <w:marTop w:val="0"/>
      <w:marBottom w:val="0"/>
      <w:divBdr>
        <w:top w:val="none" w:sz="0" w:space="0" w:color="auto"/>
        <w:left w:val="none" w:sz="0" w:space="0" w:color="auto"/>
        <w:bottom w:val="none" w:sz="0" w:space="0" w:color="auto"/>
        <w:right w:val="none" w:sz="0" w:space="0" w:color="auto"/>
      </w:divBdr>
    </w:div>
    <w:div w:id="153953325">
      <w:bodyDiv w:val="1"/>
      <w:marLeft w:val="0"/>
      <w:marRight w:val="0"/>
      <w:marTop w:val="0"/>
      <w:marBottom w:val="0"/>
      <w:divBdr>
        <w:top w:val="none" w:sz="0" w:space="0" w:color="auto"/>
        <w:left w:val="none" w:sz="0" w:space="0" w:color="auto"/>
        <w:bottom w:val="none" w:sz="0" w:space="0" w:color="auto"/>
        <w:right w:val="none" w:sz="0" w:space="0" w:color="auto"/>
      </w:divBdr>
    </w:div>
    <w:div w:id="165556040">
      <w:bodyDiv w:val="1"/>
      <w:marLeft w:val="0"/>
      <w:marRight w:val="0"/>
      <w:marTop w:val="0"/>
      <w:marBottom w:val="0"/>
      <w:divBdr>
        <w:top w:val="none" w:sz="0" w:space="0" w:color="auto"/>
        <w:left w:val="none" w:sz="0" w:space="0" w:color="auto"/>
        <w:bottom w:val="none" w:sz="0" w:space="0" w:color="auto"/>
        <w:right w:val="none" w:sz="0" w:space="0" w:color="auto"/>
      </w:divBdr>
    </w:div>
    <w:div w:id="172300741">
      <w:bodyDiv w:val="1"/>
      <w:marLeft w:val="0"/>
      <w:marRight w:val="0"/>
      <w:marTop w:val="0"/>
      <w:marBottom w:val="0"/>
      <w:divBdr>
        <w:top w:val="none" w:sz="0" w:space="0" w:color="auto"/>
        <w:left w:val="none" w:sz="0" w:space="0" w:color="auto"/>
        <w:bottom w:val="none" w:sz="0" w:space="0" w:color="auto"/>
        <w:right w:val="none" w:sz="0" w:space="0" w:color="auto"/>
      </w:divBdr>
    </w:div>
    <w:div w:id="244143985">
      <w:bodyDiv w:val="1"/>
      <w:marLeft w:val="0"/>
      <w:marRight w:val="0"/>
      <w:marTop w:val="0"/>
      <w:marBottom w:val="0"/>
      <w:divBdr>
        <w:top w:val="none" w:sz="0" w:space="0" w:color="auto"/>
        <w:left w:val="none" w:sz="0" w:space="0" w:color="auto"/>
        <w:bottom w:val="none" w:sz="0" w:space="0" w:color="auto"/>
        <w:right w:val="none" w:sz="0" w:space="0" w:color="auto"/>
      </w:divBdr>
    </w:div>
    <w:div w:id="282423706">
      <w:bodyDiv w:val="1"/>
      <w:marLeft w:val="0"/>
      <w:marRight w:val="0"/>
      <w:marTop w:val="0"/>
      <w:marBottom w:val="0"/>
      <w:divBdr>
        <w:top w:val="none" w:sz="0" w:space="0" w:color="auto"/>
        <w:left w:val="none" w:sz="0" w:space="0" w:color="auto"/>
        <w:bottom w:val="none" w:sz="0" w:space="0" w:color="auto"/>
        <w:right w:val="none" w:sz="0" w:space="0" w:color="auto"/>
      </w:divBdr>
    </w:div>
    <w:div w:id="316305679">
      <w:bodyDiv w:val="1"/>
      <w:marLeft w:val="0"/>
      <w:marRight w:val="0"/>
      <w:marTop w:val="0"/>
      <w:marBottom w:val="0"/>
      <w:divBdr>
        <w:top w:val="none" w:sz="0" w:space="0" w:color="auto"/>
        <w:left w:val="none" w:sz="0" w:space="0" w:color="auto"/>
        <w:bottom w:val="none" w:sz="0" w:space="0" w:color="auto"/>
        <w:right w:val="none" w:sz="0" w:space="0" w:color="auto"/>
      </w:divBdr>
    </w:div>
    <w:div w:id="325668634">
      <w:bodyDiv w:val="1"/>
      <w:marLeft w:val="0"/>
      <w:marRight w:val="0"/>
      <w:marTop w:val="0"/>
      <w:marBottom w:val="0"/>
      <w:divBdr>
        <w:top w:val="none" w:sz="0" w:space="0" w:color="auto"/>
        <w:left w:val="none" w:sz="0" w:space="0" w:color="auto"/>
        <w:bottom w:val="none" w:sz="0" w:space="0" w:color="auto"/>
        <w:right w:val="none" w:sz="0" w:space="0" w:color="auto"/>
      </w:divBdr>
    </w:div>
    <w:div w:id="411977239">
      <w:bodyDiv w:val="1"/>
      <w:marLeft w:val="0"/>
      <w:marRight w:val="0"/>
      <w:marTop w:val="0"/>
      <w:marBottom w:val="0"/>
      <w:divBdr>
        <w:top w:val="none" w:sz="0" w:space="0" w:color="auto"/>
        <w:left w:val="none" w:sz="0" w:space="0" w:color="auto"/>
        <w:bottom w:val="none" w:sz="0" w:space="0" w:color="auto"/>
        <w:right w:val="none" w:sz="0" w:space="0" w:color="auto"/>
      </w:divBdr>
    </w:div>
    <w:div w:id="479275298">
      <w:bodyDiv w:val="1"/>
      <w:marLeft w:val="0"/>
      <w:marRight w:val="0"/>
      <w:marTop w:val="0"/>
      <w:marBottom w:val="0"/>
      <w:divBdr>
        <w:top w:val="none" w:sz="0" w:space="0" w:color="auto"/>
        <w:left w:val="none" w:sz="0" w:space="0" w:color="auto"/>
        <w:bottom w:val="none" w:sz="0" w:space="0" w:color="auto"/>
        <w:right w:val="none" w:sz="0" w:space="0" w:color="auto"/>
      </w:divBdr>
    </w:div>
    <w:div w:id="534544180">
      <w:bodyDiv w:val="1"/>
      <w:marLeft w:val="0"/>
      <w:marRight w:val="0"/>
      <w:marTop w:val="0"/>
      <w:marBottom w:val="0"/>
      <w:divBdr>
        <w:top w:val="none" w:sz="0" w:space="0" w:color="auto"/>
        <w:left w:val="none" w:sz="0" w:space="0" w:color="auto"/>
        <w:bottom w:val="none" w:sz="0" w:space="0" w:color="auto"/>
        <w:right w:val="none" w:sz="0" w:space="0" w:color="auto"/>
      </w:divBdr>
    </w:div>
    <w:div w:id="558588049">
      <w:bodyDiv w:val="1"/>
      <w:marLeft w:val="0"/>
      <w:marRight w:val="0"/>
      <w:marTop w:val="0"/>
      <w:marBottom w:val="0"/>
      <w:divBdr>
        <w:top w:val="none" w:sz="0" w:space="0" w:color="auto"/>
        <w:left w:val="none" w:sz="0" w:space="0" w:color="auto"/>
        <w:bottom w:val="none" w:sz="0" w:space="0" w:color="auto"/>
        <w:right w:val="none" w:sz="0" w:space="0" w:color="auto"/>
      </w:divBdr>
    </w:div>
    <w:div w:id="590897578">
      <w:bodyDiv w:val="1"/>
      <w:marLeft w:val="0"/>
      <w:marRight w:val="0"/>
      <w:marTop w:val="0"/>
      <w:marBottom w:val="0"/>
      <w:divBdr>
        <w:top w:val="none" w:sz="0" w:space="0" w:color="auto"/>
        <w:left w:val="none" w:sz="0" w:space="0" w:color="auto"/>
        <w:bottom w:val="none" w:sz="0" w:space="0" w:color="auto"/>
        <w:right w:val="none" w:sz="0" w:space="0" w:color="auto"/>
      </w:divBdr>
    </w:div>
    <w:div w:id="637955401">
      <w:bodyDiv w:val="1"/>
      <w:marLeft w:val="0"/>
      <w:marRight w:val="0"/>
      <w:marTop w:val="0"/>
      <w:marBottom w:val="0"/>
      <w:divBdr>
        <w:top w:val="none" w:sz="0" w:space="0" w:color="auto"/>
        <w:left w:val="none" w:sz="0" w:space="0" w:color="auto"/>
        <w:bottom w:val="none" w:sz="0" w:space="0" w:color="auto"/>
        <w:right w:val="none" w:sz="0" w:space="0" w:color="auto"/>
      </w:divBdr>
    </w:div>
    <w:div w:id="714045680">
      <w:bodyDiv w:val="1"/>
      <w:marLeft w:val="0"/>
      <w:marRight w:val="0"/>
      <w:marTop w:val="0"/>
      <w:marBottom w:val="0"/>
      <w:divBdr>
        <w:top w:val="none" w:sz="0" w:space="0" w:color="auto"/>
        <w:left w:val="none" w:sz="0" w:space="0" w:color="auto"/>
        <w:bottom w:val="none" w:sz="0" w:space="0" w:color="auto"/>
        <w:right w:val="none" w:sz="0" w:space="0" w:color="auto"/>
      </w:divBdr>
    </w:div>
    <w:div w:id="766577922">
      <w:bodyDiv w:val="1"/>
      <w:marLeft w:val="0"/>
      <w:marRight w:val="0"/>
      <w:marTop w:val="0"/>
      <w:marBottom w:val="0"/>
      <w:divBdr>
        <w:top w:val="none" w:sz="0" w:space="0" w:color="auto"/>
        <w:left w:val="none" w:sz="0" w:space="0" w:color="auto"/>
        <w:bottom w:val="none" w:sz="0" w:space="0" w:color="auto"/>
        <w:right w:val="none" w:sz="0" w:space="0" w:color="auto"/>
      </w:divBdr>
    </w:div>
    <w:div w:id="782768128">
      <w:bodyDiv w:val="1"/>
      <w:marLeft w:val="0"/>
      <w:marRight w:val="0"/>
      <w:marTop w:val="0"/>
      <w:marBottom w:val="0"/>
      <w:divBdr>
        <w:top w:val="none" w:sz="0" w:space="0" w:color="auto"/>
        <w:left w:val="none" w:sz="0" w:space="0" w:color="auto"/>
        <w:bottom w:val="none" w:sz="0" w:space="0" w:color="auto"/>
        <w:right w:val="none" w:sz="0" w:space="0" w:color="auto"/>
      </w:divBdr>
    </w:div>
    <w:div w:id="811556299">
      <w:bodyDiv w:val="1"/>
      <w:marLeft w:val="0"/>
      <w:marRight w:val="0"/>
      <w:marTop w:val="0"/>
      <w:marBottom w:val="0"/>
      <w:divBdr>
        <w:top w:val="none" w:sz="0" w:space="0" w:color="auto"/>
        <w:left w:val="none" w:sz="0" w:space="0" w:color="auto"/>
        <w:bottom w:val="none" w:sz="0" w:space="0" w:color="auto"/>
        <w:right w:val="none" w:sz="0" w:space="0" w:color="auto"/>
      </w:divBdr>
    </w:div>
    <w:div w:id="888110816">
      <w:bodyDiv w:val="1"/>
      <w:marLeft w:val="0"/>
      <w:marRight w:val="0"/>
      <w:marTop w:val="0"/>
      <w:marBottom w:val="0"/>
      <w:divBdr>
        <w:top w:val="none" w:sz="0" w:space="0" w:color="auto"/>
        <w:left w:val="none" w:sz="0" w:space="0" w:color="auto"/>
        <w:bottom w:val="none" w:sz="0" w:space="0" w:color="auto"/>
        <w:right w:val="none" w:sz="0" w:space="0" w:color="auto"/>
      </w:divBdr>
    </w:div>
    <w:div w:id="916406600">
      <w:bodyDiv w:val="1"/>
      <w:marLeft w:val="0"/>
      <w:marRight w:val="0"/>
      <w:marTop w:val="0"/>
      <w:marBottom w:val="0"/>
      <w:divBdr>
        <w:top w:val="none" w:sz="0" w:space="0" w:color="auto"/>
        <w:left w:val="none" w:sz="0" w:space="0" w:color="auto"/>
        <w:bottom w:val="none" w:sz="0" w:space="0" w:color="auto"/>
        <w:right w:val="none" w:sz="0" w:space="0" w:color="auto"/>
      </w:divBdr>
    </w:div>
    <w:div w:id="925697796">
      <w:bodyDiv w:val="1"/>
      <w:marLeft w:val="0"/>
      <w:marRight w:val="0"/>
      <w:marTop w:val="0"/>
      <w:marBottom w:val="0"/>
      <w:divBdr>
        <w:top w:val="none" w:sz="0" w:space="0" w:color="auto"/>
        <w:left w:val="none" w:sz="0" w:space="0" w:color="auto"/>
        <w:bottom w:val="none" w:sz="0" w:space="0" w:color="auto"/>
        <w:right w:val="none" w:sz="0" w:space="0" w:color="auto"/>
      </w:divBdr>
    </w:div>
    <w:div w:id="1000235421">
      <w:bodyDiv w:val="1"/>
      <w:marLeft w:val="0"/>
      <w:marRight w:val="0"/>
      <w:marTop w:val="0"/>
      <w:marBottom w:val="0"/>
      <w:divBdr>
        <w:top w:val="none" w:sz="0" w:space="0" w:color="auto"/>
        <w:left w:val="none" w:sz="0" w:space="0" w:color="auto"/>
        <w:bottom w:val="none" w:sz="0" w:space="0" w:color="auto"/>
        <w:right w:val="none" w:sz="0" w:space="0" w:color="auto"/>
      </w:divBdr>
    </w:div>
    <w:div w:id="1002318489">
      <w:bodyDiv w:val="1"/>
      <w:marLeft w:val="0"/>
      <w:marRight w:val="0"/>
      <w:marTop w:val="0"/>
      <w:marBottom w:val="0"/>
      <w:divBdr>
        <w:top w:val="none" w:sz="0" w:space="0" w:color="auto"/>
        <w:left w:val="none" w:sz="0" w:space="0" w:color="auto"/>
        <w:bottom w:val="none" w:sz="0" w:space="0" w:color="auto"/>
        <w:right w:val="none" w:sz="0" w:space="0" w:color="auto"/>
      </w:divBdr>
    </w:div>
    <w:div w:id="1013803116">
      <w:bodyDiv w:val="1"/>
      <w:marLeft w:val="0"/>
      <w:marRight w:val="0"/>
      <w:marTop w:val="0"/>
      <w:marBottom w:val="0"/>
      <w:divBdr>
        <w:top w:val="none" w:sz="0" w:space="0" w:color="auto"/>
        <w:left w:val="none" w:sz="0" w:space="0" w:color="auto"/>
        <w:bottom w:val="none" w:sz="0" w:space="0" w:color="auto"/>
        <w:right w:val="none" w:sz="0" w:space="0" w:color="auto"/>
      </w:divBdr>
    </w:div>
    <w:div w:id="1062142832">
      <w:bodyDiv w:val="1"/>
      <w:marLeft w:val="0"/>
      <w:marRight w:val="0"/>
      <w:marTop w:val="0"/>
      <w:marBottom w:val="0"/>
      <w:divBdr>
        <w:top w:val="none" w:sz="0" w:space="0" w:color="auto"/>
        <w:left w:val="none" w:sz="0" w:space="0" w:color="auto"/>
        <w:bottom w:val="none" w:sz="0" w:space="0" w:color="auto"/>
        <w:right w:val="none" w:sz="0" w:space="0" w:color="auto"/>
      </w:divBdr>
    </w:div>
    <w:div w:id="1142117209">
      <w:bodyDiv w:val="1"/>
      <w:marLeft w:val="0"/>
      <w:marRight w:val="0"/>
      <w:marTop w:val="0"/>
      <w:marBottom w:val="0"/>
      <w:divBdr>
        <w:top w:val="none" w:sz="0" w:space="0" w:color="auto"/>
        <w:left w:val="none" w:sz="0" w:space="0" w:color="auto"/>
        <w:bottom w:val="none" w:sz="0" w:space="0" w:color="auto"/>
        <w:right w:val="none" w:sz="0" w:space="0" w:color="auto"/>
      </w:divBdr>
    </w:div>
    <w:div w:id="1214196833">
      <w:bodyDiv w:val="1"/>
      <w:marLeft w:val="0"/>
      <w:marRight w:val="0"/>
      <w:marTop w:val="0"/>
      <w:marBottom w:val="0"/>
      <w:divBdr>
        <w:top w:val="none" w:sz="0" w:space="0" w:color="auto"/>
        <w:left w:val="none" w:sz="0" w:space="0" w:color="auto"/>
        <w:bottom w:val="none" w:sz="0" w:space="0" w:color="auto"/>
        <w:right w:val="none" w:sz="0" w:space="0" w:color="auto"/>
      </w:divBdr>
    </w:div>
    <w:div w:id="1239091648">
      <w:bodyDiv w:val="1"/>
      <w:marLeft w:val="0"/>
      <w:marRight w:val="0"/>
      <w:marTop w:val="0"/>
      <w:marBottom w:val="0"/>
      <w:divBdr>
        <w:top w:val="none" w:sz="0" w:space="0" w:color="auto"/>
        <w:left w:val="none" w:sz="0" w:space="0" w:color="auto"/>
        <w:bottom w:val="none" w:sz="0" w:space="0" w:color="auto"/>
        <w:right w:val="none" w:sz="0" w:space="0" w:color="auto"/>
      </w:divBdr>
    </w:div>
    <w:div w:id="1354384664">
      <w:bodyDiv w:val="1"/>
      <w:marLeft w:val="0"/>
      <w:marRight w:val="0"/>
      <w:marTop w:val="0"/>
      <w:marBottom w:val="0"/>
      <w:divBdr>
        <w:top w:val="none" w:sz="0" w:space="0" w:color="auto"/>
        <w:left w:val="none" w:sz="0" w:space="0" w:color="auto"/>
        <w:bottom w:val="none" w:sz="0" w:space="0" w:color="auto"/>
        <w:right w:val="none" w:sz="0" w:space="0" w:color="auto"/>
      </w:divBdr>
    </w:div>
    <w:div w:id="1382559252">
      <w:bodyDiv w:val="1"/>
      <w:marLeft w:val="0"/>
      <w:marRight w:val="0"/>
      <w:marTop w:val="0"/>
      <w:marBottom w:val="0"/>
      <w:divBdr>
        <w:top w:val="none" w:sz="0" w:space="0" w:color="auto"/>
        <w:left w:val="none" w:sz="0" w:space="0" w:color="auto"/>
        <w:bottom w:val="none" w:sz="0" w:space="0" w:color="auto"/>
        <w:right w:val="none" w:sz="0" w:space="0" w:color="auto"/>
      </w:divBdr>
    </w:div>
    <w:div w:id="1394891113">
      <w:bodyDiv w:val="1"/>
      <w:marLeft w:val="0"/>
      <w:marRight w:val="0"/>
      <w:marTop w:val="0"/>
      <w:marBottom w:val="0"/>
      <w:divBdr>
        <w:top w:val="none" w:sz="0" w:space="0" w:color="auto"/>
        <w:left w:val="none" w:sz="0" w:space="0" w:color="auto"/>
        <w:bottom w:val="none" w:sz="0" w:space="0" w:color="auto"/>
        <w:right w:val="none" w:sz="0" w:space="0" w:color="auto"/>
      </w:divBdr>
    </w:div>
    <w:div w:id="1399278916">
      <w:bodyDiv w:val="1"/>
      <w:marLeft w:val="0"/>
      <w:marRight w:val="0"/>
      <w:marTop w:val="0"/>
      <w:marBottom w:val="0"/>
      <w:divBdr>
        <w:top w:val="none" w:sz="0" w:space="0" w:color="auto"/>
        <w:left w:val="none" w:sz="0" w:space="0" w:color="auto"/>
        <w:bottom w:val="none" w:sz="0" w:space="0" w:color="auto"/>
        <w:right w:val="none" w:sz="0" w:space="0" w:color="auto"/>
      </w:divBdr>
    </w:div>
    <w:div w:id="1431049884">
      <w:bodyDiv w:val="1"/>
      <w:marLeft w:val="0"/>
      <w:marRight w:val="0"/>
      <w:marTop w:val="0"/>
      <w:marBottom w:val="0"/>
      <w:divBdr>
        <w:top w:val="none" w:sz="0" w:space="0" w:color="auto"/>
        <w:left w:val="none" w:sz="0" w:space="0" w:color="auto"/>
        <w:bottom w:val="none" w:sz="0" w:space="0" w:color="auto"/>
        <w:right w:val="none" w:sz="0" w:space="0" w:color="auto"/>
      </w:divBdr>
      <w:divsChild>
        <w:div w:id="759177854">
          <w:marLeft w:val="0"/>
          <w:marRight w:val="0"/>
          <w:marTop w:val="0"/>
          <w:marBottom w:val="0"/>
          <w:divBdr>
            <w:top w:val="none" w:sz="0" w:space="0" w:color="auto"/>
            <w:left w:val="none" w:sz="0" w:space="0" w:color="auto"/>
            <w:bottom w:val="none" w:sz="0" w:space="0" w:color="auto"/>
            <w:right w:val="none" w:sz="0" w:space="0" w:color="auto"/>
          </w:divBdr>
        </w:div>
        <w:div w:id="1075398218">
          <w:marLeft w:val="0"/>
          <w:marRight w:val="0"/>
          <w:marTop w:val="0"/>
          <w:marBottom w:val="0"/>
          <w:divBdr>
            <w:top w:val="none" w:sz="0" w:space="0" w:color="auto"/>
            <w:left w:val="none" w:sz="0" w:space="0" w:color="auto"/>
            <w:bottom w:val="none" w:sz="0" w:space="0" w:color="auto"/>
            <w:right w:val="none" w:sz="0" w:space="0" w:color="auto"/>
          </w:divBdr>
        </w:div>
        <w:div w:id="434059069">
          <w:marLeft w:val="0"/>
          <w:marRight w:val="0"/>
          <w:marTop w:val="0"/>
          <w:marBottom w:val="0"/>
          <w:divBdr>
            <w:top w:val="none" w:sz="0" w:space="0" w:color="auto"/>
            <w:left w:val="none" w:sz="0" w:space="0" w:color="auto"/>
            <w:bottom w:val="none" w:sz="0" w:space="0" w:color="auto"/>
            <w:right w:val="none" w:sz="0" w:space="0" w:color="auto"/>
          </w:divBdr>
        </w:div>
        <w:div w:id="1114904895">
          <w:marLeft w:val="0"/>
          <w:marRight w:val="0"/>
          <w:marTop w:val="0"/>
          <w:marBottom w:val="0"/>
          <w:divBdr>
            <w:top w:val="none" w:sz="0" w:space="0" w:color="auto"/>
            <w:left w:val="none" w:sz="0" w:space="0" w:color="auto"/>
            <w:bottom w:val="none" w:sz="0" w:space="0" w:color="auto"/>
            <w:right w:val="none" w:sz="0" w:space="0" w:color="auto"/>
          </w:divBdr>
        </w:div>
        <w:div w:id="620503236">
          <w:marLeft w:val="0"/>
          <w:marRight w:val="0"/>
          <w:marTop w:val="0"/>
          <w:marBottom w:val="0"/>
          <w:divBdr>
            <w:top w:val="none" w:sz="0" w:space="0" w:color="auto"/>
            <w:left w:val="none" w:sz="0" w:space="0" w:color="auto"/>
            <w:bottom w:val="none" w:sz="0" w:space="0" w:color="auto"/>
            <w:right w:val="none" w:sz="0" w:space="0" w:color="auto"/>
          </w:divBdr>
        </w:div>
      </w:divsChild>
    </w:div>
    <w:div w:id="1455640105">
      <w:bodyDiv w:val="1"/>
      <w:marLeft w:val="0"/>
      <w:marRight w:val="0"/>
      <w:marTop w:val="0"/>
      <w:marBottom w:val="0"/>
      <w:divBdr>
        <w:top w:val="none" w:sz="0" w:space="0" w:color="auto"/>
        <w:left w:val="none" w:sz="0" w:space="0" w:color="auto"/>
        <w:bottom w:val="none" w:sz="0" w:space="0" w:color="auto"/>
        <w:right w:val="none" w:sz="0" w:space="0" w:color="auto"/>
      </w:divBdr>
    </w:div>
    <w:div w:id="1473449865">
      <w:bodyDiv w:val="1"/>
      <w:marLeft w:val="0"/>
      <w:marRight w:val="0"/>
      <w:marTop w:val="0"/>
      <w:marBottom w:val="0"/>
      <w:divBdr>
        <w:top w:val="none" w:sz="0" w:space="0" w:color="auto"/>
        <w:left w:val="none" w:sz="0" w:space="0" w:color="auto"/>
        <w:bottom w:val="none" w:sz="0" w:space="0" w:color="auto"/>
        <w:right w:val="none" w:sz="0" w:space="0" w:color="auto"/>
      </w:divBdr>
    </w:div>
    <w:div w:id="1524322994">
      <w:bodyDiv w:val="1"/>
      <w:marLeft w:val="0"/>
      <w:marRight w:val="0"/>
      <w:marTop w:val="0"/>
      <w:marBottom w:val="0"/>
      <w:divBdr>
        <w:top w:val="none" w:sz="0" w:space="0" w:color="auto"/>
        <w:left w:val="none" w:sz="0" w:space="0" w:color="auto"/>
        <w:bottom w:val="none" w:sz="0" w:space="0" w:color="auto"/>
        <w:right w:val="none" w:sz="0" w:space="0" w:color="auto"/>
      </w:divBdr>
    </w:div>
    <w:div w:id="1579442114">
      <w:bodyDiv w:val="1"/>
      <w:marLeft w:val="0"/>
      <w:marRight w:val="0"/>
      <w:marTop w:val="0"/>
      <w:marBottom w:val="0"/>
      <w:divBdr>
        <w:top w:val="none" w:sz="0" w:space="0" w:color="auto"/>
        <w:left w:val="none" w:sz="0" w:space="0" w:color="auto"/>
        <w:bottom w:val="none" w:sz="0" w:space="0" w:color="auto"/>
        <w:right w:val="none" w:sz="0" w:space="0" w:color="auto"/>
      </w:divBdr>
    </w:div>
    <w:div w:id="1595626200">
      <w:bodyDiv w:val="1"/>
      <w:marLeft w:val="0"/>
      <w:marRight w:val="0"/>
      <w:marTop w:val="0"/>
      <w:marBottom w:val="0"/>
      <w:divBdr>
        <w:top w:val="none" w:sz="0" w:space="0" w:color="auto"/>
        <w:left w:val="none" w:sz="0" w:space="0" w:color="auto"/>
        <w:bottom w:val="none" w:sz="0" w:space="0" w:color="auto"/>
        <w:right w:val="none" w:sz="0" w:space="0" w:color="auto"/>
      </w:divBdr>
    </w:div>
    <w:div w:id="1597907164">
      <w:bodyDiv w:val="1"/>
      <w:marLeft w:val="0"/>
      <w:marRight w:val="0"/>
      <w:marTop w:val="0"/>
      <w:marBottom w:val="0"/>
      <w:divBdr>
        <w:top w:val="none" w:sz="0" w:space="0" w:color="auto"/>
        <w:left w:val="none" w:sz="0" w:space="0" w:color="auto"/>
        <w:bottom w:val="none" w:sz="0" w:space="0" w:color="auto"/>
        <w:right w:val="none" w:sz="0" w:space="0" w:color="auto"/>
      </w:divBdr>
    </w:div>
    <w:div w:id="1609042540">
      <w:bodyDiv w:val="1"/>
      <w:marLeft w:val="0"/>
      <w:marRight w:val="0"/>
      <w:marTop w:val="0"/>
      <w:marBottom w:val="0"/>
      <w:divBdr>
        <w:top w:val="none" w:sz="0" w:space="0" w:color="auto"/>
        <w:left w:val="none" w:sz="0" w:space="0" w:color="auto"/>
        <w:bottom w:val="none" w:sz="0" w:space="0" w:color="auto"/>
        <w:right w:val="none" w:sz="0" w:space="0" w:color="auto"/>
      </w:divBdr>
    </w:div>
    <w:div w:id="1632056049">
      <w:bodyDiv w:val="1"/>
      <w:marLeft w:val="0"/>
      <w:marRight w:val="0"/>
      <w:marTop w:val="0"/>
      <w:marBottom w:val="0"/>
      <w:divBdr>
        <w:top w:val="none" w:sz="0" w:space="0" w:color="auto"/>
        <w:left w:val="none" w:sz="0" w:space="0" w:color="auto"/>
        <w:bottom w:val="none" w:sz="0" w:space="0" w:color="auto"/>
        <w:right w:val="none" w:sz="0" w:space="0" w:color="auto"/>
      </w:divBdr>
    </w:div>
    <w:div w:id="1641157059">
      <w:bodyDiv w:val="1"/>
      <w:marLeft w:val="0"/>
      <w:marRight w:val="0"/>
      <w:marTop w:val="0"/>
      <w:marBottom w:val="0"/>
      <w:divBdr>
        <w:top w:val="none" w:sz="0" w:space="0" w:color="auto"/>
        <w:left w:val="none" w:sz="0" w:space="0" w:color="auto"/>
        <w:bottom w:val="none" w:sz="0" w:space="0" w:color="auto"/>
        <w:right w:val="none" w:sz="0" w:space="0" w:color="auto"/>
      </w:divBdr>
    </w:div>
    <w:div w:id="1739865098">
      <w:bodyDiv w:val="1"/>
      <w:marLeft w:val="0"/>
      <w:marRight w:val="0"/>
      <w:marTop w:val="0"/>
      <w:marBottom w:val="0"/>
      <w:divBdr>
        <w:top w:val="none" w:sz="0" w:space="0" w:color="auto"/>
        <w:left w:val="none" w:sz="0" w:space="0" w:color="auto"/>
        <w:bottom w:val="none" w:sz="0" w:space="0" w:color="auto"/>
        <w:right w:val="none" w:sz="0" w:space="0" w:color="auto"/>
      </w:divBdr>
    </w:div>
    <w:div w:id="1803766444">
      <w:bodyDiv w:val="1"/>
      <w:marLeft w:val="0"/>
      <w:marRight w:val="0"/>
      <w:marTop w:val="0"/>
      <w:marBottom w:val="0"/>
      <w:divBdr>
        <w:top w:val="none" w:sz="0" w:space="0" w:color="auto"/>
        <w:left w:val="none" w:sz="0" w:space="0" w:color="auto"/>
        <w:bottom w:val="none" w:sz="0" w:space="0" w:color="auto"/>
        <w:right w:val="none" w:sz="0" w:space="0" w:color="auto"/>
      </w:divBdr>
    </w:div>
    <w:div w:id="1807771701">
      <w:bodyDiv w:val="1"/>
      <w:marLeft w:val="0"/>
      <w:marRight w:val="0"/>
      <w:marTop w:val="0"/>
      <w:marBottom w:val="0"/>
      <w:divBdr>
        <w:top w:val="none" w:sz="0" w:space="0" w:color="auto"/>
        <w:left w:val="none" w:sz="0" w:space="0" w:color="auto"/>
        <w:bottom w:val="none" w:sz="0" w:space="0" w:color="auto"/>
        <w:right w:val="none" w:sz="0" w:space="0" w:color="auto"/>
      </w:divBdr>
    </w:div>
    <w:div w:id="1827086770">
      <w:bodyDiv w:val="1"/>
      <w:marLeft w:val="0"/>
      <w:marRight w:val="0"/>
      <w:marTop w:val="0"/>
      <w:marBottom w:val="0"/>
      <w:divBdr>
        <w:top w:val="none" w:sz="0" w:space="0" w:color="auto"/>
        <w:left w:val="none" w:sz="0" w:space="0" w:color="auto"/>
        <w:bottom w:val="none" w:sz="0" w:space="0" w:color="auto"/>
        <w:right w:val="none" w:sz="0" w:space="0" w:color="auto"/>
      </w:divBdr>
    </w:div>
    <w:div w:id="1827823210">
      <w:bodyDiv w:val="1"/>
      <w:marLeft w:val="0"/>
      <w:marRight w:val="0"/>
      <w:marTop w:val="0"/>
      <w:marBottom w:val="0"/>
      <w:divBdr>
        <w:top w:val="none" w:sz="0" w:space="0" w:color="auto"/>
        <w:left w:val="none" w:sz="0" w:space="0" w:color="auto"/>
        <w:bottom w:val="none" w:sz="0" w:space="0" w:color="auto"/>
        <w:right w:val="none" w:sz="0" w:space="0" w:color="auto"/>
      </w:divBdr>
    </w:div>
    <w:div w:id="1877692332">
      <w:bodyDiv w:val="1"/>
      <w:marLeft w:val="0"/>
      <w:marRight w:val="0"/>
      <w:marTop w:val="0"/>
      <w:marBottom w:val="0"/>
      <w:divBdr>
        <w:top w:val="none" w:sz="0" w:space="0" w:color="auto"/>
        <w:left w:val="none" w:sz="0" w:space="0" w:color="auto"/>
        <w:bottom w:val="none" w:sz="0" w:space="0" w:color="auto"/>
        <w:right w:val="none" w:sz="0" w:space="0" w:color="auto"/>
      </w:divBdr>
    </w:div>
    <w:div w:id="1891529702">
      <w:bodyDiv w:val="1"/>
      <w:marLeft w:val="0"/>
      <w:marRight w:val="0"/>
      <w:marTop w:val="0"/>
      <w:marBottom w:val="0"/>
      <w:divBdr>
        <w:top w:val="none" w:sz="0" w:space="0" w:color="auto"/>
        <w:left w:val="none" w:sz="0" w:space="0" w:color="auto"/>
        <w:bottom w:val="none" w:sz="0" w:space="0" w:color="auto"/>
        <w:right w:val="none" w:sz="0" w:space="0" w:color="auto"/>
      </w:divBdr>
    </w:div>
    <w:div w:id="1991787605">
      <w:bodyDiv w:val="1"/>
      <w:marLeft w:val="0"/>
      <w:marRight w:val="0"/>
      <w:marTop w:val="0"/>
      <w:marBottom w:val="0"/>
      <w:divBdr>
        <w:top w:val="none" w:sz="0" w:space="0" w:color="auto"/>
        <w:left w:val="none" w:sz="0" w:space="0" w:color="auto"/>
        <w:bottom w:val="none" w:sz="0" w:space="0" w:color="auto"/>
        <w:right w:val="none" w:sz="0" w:space="0" w:color="auto"/>
      </w:divBdr>
    </w:div>
    <w:div w:id="2071224706">
      <w:bodyDiv w:val="1"/>
      <w:marLeft w:val="0"/>
      <w:marRight w:val="0"/>
      <w:marTop w:val="0"/>
      <w:marBottom w:val="0"/>
      <w:divBdr>
        <w:top w:val="none" w:sz="0" w:space="0" w:color="auto"/>
        <w:left w:val="none" w:sz="0" w:space="0" w:color="auto"/>
        <w:bottom w:val="none" w:sz="0" w:space="0" w:color="auto"/>
        <w:right w:val="none" w:sz="0" w:space="0" w:color="auto"/>
      </w:divBdr>
    </w:div>
    <w:div w:id="2092003365">
      <w:bodyDiv w:val="1"/>
      <w:marLeft w:val="0"/>
      <w:marRight w:val="0"/>
      <w:marTop w:val="0"/>
      <w:marBottom w:val="0"/>
      <w:divBdr>
        <w:top w:val="none" w:sz="0" w:space="0" w:color="auto"/>
        <w:left w:val="none" w:sz="0" w:space="0" w:color="auto"/>
        <w:bottom w:val="none" w:sz="0" w:space="0" w:color="auto"/>
        <w:right w:val="none" w:sz="0" w:space="0" w:color="auto"/>
      </w:divBdr>
    </w:div>
    <w:div w:id="2114013606">
      <w:bodyDiv w:val="1"/>
      <w:marLeft w:val="0"/>
      <w:marRight w:val="0"/>
      <w:marTop w:val="0"/>
      <w:marBottom w:val="0"/>
      <w:divBdr>
        <w:top w:val="none" w:sz="0" w:space="0" w:color="auto"/>
        <w:left w:val="none" w:sz="0" w:space="0" w:color="auto"/>
        <w:bottom w:val="none" w:sz="0" w:space="0" w:color="auto"/>
        <w:right w:val="none" w:sz="0" w:space="0" w:color="auto"/>
      </w:divBdr>
    </w:div>
    <w:div w:id="21154406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525</TotalTime>
  <Pages>5</Pages>
  <Words>746</Words>
  <Characters>4258</Characters>
  <Application>Microsoft Office Word</Application>
  <DocSecurity>0</DocSecurity>
  <Lines>35</Lines>
  <Paragraphs>9</Paragraphs>
  <ScaleCrop>false</ScaleCrop>
  <Company/>
  <LinksUpToDate>false</LinksUpToDate>
  <CharactersWithSpaces>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mao olivia</dc:creator>
  <cp:lastModifiedBy>Zhu_XueNan TS/TC(朱学楠)</cp:lastModifiedBy>
  <cp:revision>74</cp:revision>
  <cp:lastPrinted>2020-06-19T17:05:00Z</cp:lastPrinted>
  <dcterms:created xsi:type="dcterms:W3CDTF">2024-11-01T02:03:00Z</dcterms:created>
  <dcterms:modified xsi:type="dcterms:W3CDTF">2025-05-06T01:16:00Z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9CDA413DFA2C37A01D322B661B597530_33</vt:lpwstr>
  </property>
  <property fmtid="{D5CDD505-2E9C-101B-9397-08002B2CF9AE}" pid="3" name="KSOProductBuildVer">
    <vt:lpwstr>2052-0.0.0.0</vt:lpwstr>
  </property>
</Properties>
</file>