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AC9F4">
      <w:pPr>
        <w:spacing w:before="156" w:beforeLines="50"/>
        <w:jc w:val="center"/>
        <w:rPr>
          <w:rFonts w:hint="eastAsia" w:ascii="宋体" w:hAnsi="宋体"/>
          <w:b/>
          <w:bCs/>
          <w:iCs/>
          <w:color w:val="000000"/>
          <w:sz w:val="36"/>
          <w:szCs w:val="36"/>
        </w:rPr>
      </w:pPr>
      <w:r>
        <w:rPr>
          <w:rFonts w:hint="eastAsia" w:ascii="宋体" w:hAnsi="宋体"/>
          <w:b/>
          <w:bCs/>
          <w:iCs/>
          <w:color w:val="000000"/>
          <w:sz w:val="36"/>
          <w:szCs w:val="36"/>
        </w:rPr>
        <w:t>海南矿业股份有限公司</w:t>
      </w:r>
    </w:p>
    <w:p w14:paraId="204299AB">
      <w:pPr>
        <w:jc w:val="center"/>
        <w:rPr>
          <w:rFonts w:hint="eastAsia" w:ascii="宋体" w:hAnsi="宋体"/>
          <w:b/>
          <w:bCs/>
          <w:iCs/>
          <w:color w:val="000000"/>
          <w:sz w:val="36"/>
          <w:szCs w:val="36"/>
        </w:rPr>
      </w:pPr>
      <w:r>
        <w:rPr>
          <w:rFonts w:hint="eastAsia" w:ascii="宋体" w:hAnsi="宋体"/>
          <w:b/>
          <w:bCs/>
          <w:iCs/>
          <w:color w:val="000000"/>
          <w:sz w:val="36"/>
          <w:szCs w:val="36"/>
        </w:rPr>
        <w:t>投资者关系活动记录表</w:t>
      </w:r>
    </w:p>
    <w:p w14:paraId="360DEAB2">
      <w:pPr>
        <w:spacing w:line="400" w:lineRule="exact"/>
        <w:rPr>
          <w:rFonts w:hint="eastAsia" w:ascii="宋体" w:hAnsi="宋体"/>
          <w:bCs/>
          <w:iCs/>
          <w:color w:val="000000"/>
          <w:sz w:val="24"/>
        </w:rPr>
      </w:pPr>
      <w:r>
        <w:rPr>
          <w:rFonts w:hint="eastAsia" w:ascii="宋体" w:hAnsi="宋体"/>
          <w:bCs/>
          <w:iCs/>
          <w:color w:val="000000"/>
          <w:sz w:val="24"/>
        </w:rPr>
        <w:t xml:space="preserve">                                                        </w:t>
      </w:r>
      <w:r>
        <w:rPr>
          <w:rFonts w:hint="eastAsia" w:ascii="宋体" w:hAnsi="宋体"/>
          <w:bCs/>
          <w:iCs/>
          <w:color w:val="000000"/>
          <w:sz w:val="24"/>
          <w:highlight w:val="none"/>
        </w:rPr>
        <w:t>编号：20</w:t>
      </w:r>
      <w:r>
        <w:rPr>
          <w:rFonts w:ascii="宋体" w:hAnsi="宋体"/>
          <w:bCs/>
          <w:iCs/>
          <w:color w:val="000000"/>
          <w:sz w:val="24"/>
          <w:highlight w:val="none"/>
        </w:rPr>
        <w:t>2</w:t>
      </w:r>
      <w:r>
        <w:rPr>
          <w:rFonts w:hint="eastAsia" w:ascii="宋体" w:hAnsi="宋体"/>
          <w:bCs/>
          <w:iCs/>
          <w:color w:val="000000"/>
          <w:sz w:val="24"/>
          <w:highlight w:val="none"/>
        </w:rPr>
        <w:t>5-003</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2"/>
        <w:gridCol w:w="7174"/>
      </w:tblGrid>
      <w:tr w14:paraId="18CA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pct"/>
            <w:tcBorders>
              <w:top w:val="single" w:color="auto" w:sz="4" w:space="0"/>
              <w:left w:val="single" w:color="auto" w:sz="4" w:space="0"/>
              <w:bottom w:val="single" w:color="auto" w:sz="4" w:space="0"/>
              <w:right w:val="single" w:color="auto" w:sz="4" w:space="0"/>
            </w:tcBorders>
            <w:vAlign w:val="center"/>
          </w:tcPr>
          <w:p w14:paraId="4EF183A2">
            <w:pPr>
              <w:spacing w:before="93" w:beforeLines="30" w:after="93" w:afterLines="30" w:line="380" w:lineRule="exact"/>
              <w:jc w:val="center"/>
              <w:rPr>
                <w:rFonts w:hint="eastAsia" w:ascii="宋体" w:hAnsi="宋体"/>
                <w:bCs/>
                <w:iCs/>
                <w:color w:val="000000"/>
                <w:sz w:val="24"/>
              </w:rPr>
            </w:pPr>
            <w:r>
              <w:rPr>
                <w:rFonts w:hint="eastAsia" w:ascii="宋体" w:hAnsi="宋体"/>
                <w:bCs/>
                <w:iCs/>
                <w:color w:val="000000"/>
                <w:sz w:val="24"/>
              </w:rPr>
              <w:t>投资者关系活动类别</w:t>
            </w:r>
          </w:p>
        </w:tc>
        <w:tc>
          <w:tcPr>
            <w:tcW w:w="4206" w:type="pct"/>
            <w:tcBorders>
              <w:top w:val="single" w:color="auto" w:sz="4" w:space="0"/>
              <w:left w:val="single" w:color="auto" w:sz="4" w:space="0"/>
              <w:bottom w:val="single" w:color="auto" w:sz="4" w:space="0"/>
              <w:right w:val="single" w:color="auto" w:sz="4" w:space="0"/>
            </w:tcBorders>
            <w:vAlign w:val="center"/>
          </w:tcPr>
          <w:p w14:paraId="2253B6F2">
            <w:pPr>
              <w:spacing w:before="93" w:beforeLines="30" w:after="93" w:afterLines="30"/>
              <w:rPr>
                <w:rFonts w:hint="eastAsia" w:ascii="宋体" w:hAnsi="宋体"/>
                <w:bCs/>
                <w:iCs/>
                <w:sz w:val="24"/>
              </w:rPr>
            </w:pPr>
            <w:r>
              <w:rPr>
                <w:rFonts w:hint="eastAsia" w:ascii="宋体" w:hAnsi="宋体"/>
                <w:bCs/>
                <w:iCs/>
                <w:color w:val="000000"/>
                <w:sz w:val="24"/>
              </w:rPr>
              <w:t>□</w:t>
            </w:r>
            <w:r>
              <w:rPr>
                <w:rFonts w:hint="eastAsia" w:ascii="宋体" w:hAnsi="宋体"/>
                <w:sz w:val="24"/>
              </w:rPr>
              <w:t xml:space="preserve">特定对象调研        </w:t>
            </w:r>
            <w:r>
              <w:rPr>
                <w:rFonts w:ascii="宋体" w:hAnsi="宋体"/>
                <w:sz w:val="24"/>
              </w:rPr>
              <w:t xml:space="preserve">  </w:t>
            </w:r>
            <w:r>
              <w:rPr>
                <w:rFonts w:hint="eastAsia" w:ascii="宋体" w:hAnsi="宋体"/>
                <w:bCs/>
                <w:iCs/>
                <w:sz w:val="24"/>
              </w:rPr>
              <w:t>□</w:t>
            </w:r>
            <w:r>
              <w:rPr>
                <w:rFonts w:hint="eastAsia" w:ascii="宋体" w:hAnsi="宋体"/>
                <w:sz w:val="24"/>
              </w:rPr>
              <w:t>分析师会议</w:t>
            </w:r>
          </w:p>
          <w:p w14:paraId="009E1445">
            <w:pPr>
              <w:spacing w:before="93" w:beforeLines="30" w:after="93" w:afterLines="30"/>
              <w:rPr>
                <w:rFonts w:hint="eastAsia" w:ascii="宋体" w:hAnsi="宋体"/>
                <w:bCs/>
                <w:iCs/>
                <w:sz w:val="24"/>
              </w:rPr>
            </w:pPr>
            <w:r>
              <w:rPr>
                <w:rFonts w:hint="eastAsia" w:ascii="宋体" w:hAnsi="宋体"/>
                <w:bCs/>
                <w:iCs/>
                <w:sz w:val="24"/>
              </w:rPr>
              <w:t>□</w:t>
            </w:r>
            <w:r>
              <w:rPr>
                <w:rFonts w:hint="eastAsia" w:ascii="宋体" w:hAnsi="宋体"/>
                <w:sz w:val="24"/>
              </w:rPr>
              <w:t xml:space="preserve">媒体采访             </w:t>
            </w:r>
            <w:r>
              <w:rPr>
                <w:rFonts w:ascii="宋体" w:hAnsi="宋体"/>
                <w:sz w:val="24"/>
              </w:rPr>
              <w:t xml:space="preserve"> </w:t>
            </w:r>
            <w:r>
              <w:rPr>
                <w:rFonts w:hint="eastAsia" w:ascii="宋体" w:hAnsi="宋体"/>
                <w:bCs/>
                <w:iCs/>
                <w:sz w:val="24"/>
              </w:rPr>
              <w:t>□</w:t>
            </w:r>
            <w:r>
              <w:rPr>
                <w:rFonts w:hint="eastAsia" w:ascii="宋体" w:hAnsi="宋体"/>
                <w:sz w:val="24"/>
              </w:rPr>
              <w:t>业绩说明会</w:t>
            </w:r>
          </w:p>
          <w:p w14:paraId="4B7C50F1">
            <w:pPr>
              <w:spacing w:before="93" w:beforeLines="30" w:after="93" w:afterLines="30"/>
              <w:rPr>
                <w:rFonts w:hint="eastAsia" w:ascii="宋体" w:hAnsi="宋体"/>
                <w:bCs/>
                <w:iCs/>
                <w:sz w:val="24"/>
              </w:rPr>
            </w:pPr>
            <w:r>
              <w:rPr>
                <w:rFonts w:hint="eastAsia" w:ascii="宋体" w:hAnsi="宋体"/>
                <w:bCs/>
                <w:iCs/>
                <w:sz w:val="24"/>
              </w:rPr>
              <w:t>□</w:t>
            </w:r>
            <w:r>
              <w:rPr>
                <w:rFonts w:hint="eastAsia" w:ascii="宋体" w:hAnsi="宋体"/>
                <w:sz w:val="24"/>
              </w:rPr>
              <w:t xml:space="preserve">新闻发布会          </w:t>
            </w:r>
            <w:r>
              <w:rPr>
                <w:rFonts w:ascii="宋体" w:hAnsi="宋体"/>
                <w:sz w:val="24"/>
              </w:rPr>
              <w:t xml:space="preserve"> </w:t>
            </w:r>
            <w:r>
              <w:rPr>
                <w:rFonts w:hint="eastAsia" w:ascii="宋体" w:hAnsi="宋体"/>
                <w:sz w:val="24"/>
              </w:rPr>
              <w:t xml:space="preserve"> </w:t>
            </w:r>
            <w:r>
              <w:rPr>
                <w:rFonts w:hint="eastAsia" w:ascii="宋体" w:hAnsi="宋体"/>
                <w:bCs/>
                <w:iCs/>
                <w:sz w:val="24"/>
              </w:rPr>
              <w:t>□</w:t>
            </w:r>
            <w:r>
              <w:rPr>
                <w:rFonts w:hint="eastAsia" w:ascii="宋体" w:hAnsi="宋体"/>
                <w:sz w:val="24"/>
              </w:rPr>
              <w:t>路演活动</w:t>
            </w:r>
          </w:p>
          <w:p w14:paraId="7B39F807">
            <w:pPr>
              <w:tabs>
                <w:tab w:val="left" w:pos="3045"/>
                <w:tab w:val="center" w:pos="3199"/>
              </w:tabs>
              <w:spacing w:before="93" w:beforeLines="30" w:after="93" w:afterLines="30"/>
              <w:rPr>
                <w:rFonts w:hint="eastAsia" w:ascii="宋体" w:hAnsi="宋体"/>
                <w:bCs/>
                <w:iCs/>
                <w:color w:val="000000"/>
                <w:sz w:val="24"/>
              </w:rPr>
            </w:pPr>
            <w:r>
              <w:rPr>
                <w:rFonts w:hint="eastAsia" w:ascii="宋体" w:hAnsi="宋体"/>
                <w:bCs/>
                <w:iCs/>
                <w:color w:val="000000"/>
                <w:sz w:val="24"/>
              </w:rPr>
              <w:t>□</w:t>
            </w:r>
            <w:r>
              <w:rPr>
                <w:rFonts w:hint="eastAsia" w:ascii="宋体" w:hAnsi="宋体"/>
                <w:sz w:val="24"/>
              </w:rPr>
              <w:t xml:space="preserve">现场参观             </w:t>
            </w:r>
            <w:r>
              <w:rPr>
                <w:rFonts w:ascii="宋体" w:hAnsi="宋体"/>
                <w:sz w:val="24"/>
              </w:rPr>
              <w:t xml:space="preserve"> </w:t>
            </w:r>
            <w:r>
              <w:rPr>
                <w:rFonts w:hint="eastAsia" w:ascii="宋体" w:hAnsi="宋体"/>
                <w:bCs/>
                <w:iCs/>
                <w:sz w:val="24"/>
              </w:rPr>
              <w:t>□</w:t>
            </w:r>
            <w:r>
              <w:rPr>
                <w:rFonts w:hint="eastAsia" w:ascii="宋体" w:hAnsi="宋体"/>
                <w:sz w:val="24"/>
              </w:rPr>
              <w:t>电话会议</w:t>
            </w:r>
            <w:r>
              <w:rPr>
                <w:rFonts w:hint="eastAsia" w:ascii="宋体" w:hAnsi="宋体"/>
                <w:bCs/>
                <w:iCs/>
                <w:color w:val="000000"/>
                <w:sz w:val="24"/>
              </w:rPr>
              <w:tab/>
            </w:r>
          </w:p>
          <w:p w14:paraId="79ED1EF9">
            <w:pPr>
              <w:tabs>
                <w:tab w:val="center" w:pos="3199"/>
              </w:tabs>
              <w:spacing w:before="93" w:beforeLines="30" w:after="93" w:afterLines="30"/>
              <w:rPr>
                <w:rFonts w:hint="eastAsia" w:ascii="宋体" w:hAnsi="宋体"/>
                <w:bCs/>
                <w:iCs/>
                <w:color w:val="000000"/>
                <w:sz w:val="24"/>
              </w:rPr>
            </w:pPr>
            <w:r>
              <w:rPr>
                <w:rFonts w:hint="eastAsia" w:ascii="宋体" w:hAnsi="宋体"/>
                <w:bCs/>
                <w:iCs/>
                <w:color w:val="000000"/>
                <w:sz w:val="24"/>
              </w:rPr>
              <w:t>√</w:t>
            </w:r>
            <w:r>
              <w:rPr>
                <w:rFonts w:hint="eastAsia" w:ascii="宋体" w:hAnsi="宋体"/>
                <w:sz w:val="24"/>
              </w:rPr>
              <w:t xml:space="preserve">其他 </w:t>
            </w:r>
            <w:r>
              <w:rPr>
                <w:rFonts w:hint="eastAsia" w:ascii="宋体" w:hAnsi="宋体"/>
                <w:sz w:val="24"/>
                <w:u w:val="single"/>
              </w:rPr>
              <w:t xml:space="preserve">   策略会     </w:t>
            </w:r>
          </w:p>
        </w:tc>
      </w:tr>
      <w:tr w14:paraId="2781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793" w:type="pct"/>
            <w:tcBorders>
              <w:top w:val="single" w:color="auto" w:sz="4" w:space="0"/>
              <w:left w:val="single" w:color="auto" w:sz="4" w:space="0"/>
              <w:bottom w:val="single" w:color="auto" w:sz="4" w:space="0"/>
              <w:right w:val="single" w:color="auto" w:sz="4" w:space="0"/>
            </w:tcBorders>
            <w:vAlign w:val="center"/>
          </w:tcPr>
          <w:p w14:paraId="1F805014">
            <w:pPr>
              <w:spacing w:before="93" w:beforeLines="30" w:after="93" w:afterLines="30" w:line="380" w:lineRule="exact"/>
              <w:jc w:val="center"/>
              <w:rPr>
                <w:rFonts w:hint="eastAsia" w:ascii="宋体" w:hAnsi="宋体"/>
                <w:bCs/>
                <w:iCs/>
                <w:color w:val="000000"/>
                <w:sz w:val="24"/>
              </w:rPr>
            </w:pPr>
            <w:r>
              <w:rPr>
                <w:rFonts w:hint="eastAsia" w:ascii="宋体" w:hAnsi="宋体"/>
                <w:bCs/>
                <w:iCs/>
                <w:color w:val="000000"/>
                <w:sz w:val="24"/>
              </w:rPr>
              <w:t>参与单位</w:t>
            </w:r>
          </w:p>
        </w:tc>
        <w:tc>
          <w:tcPr>
            <w:tcW w:w="4206" w:type="pct"/>
            <w:tcBorders>
              <w:top w:val="single" w:color="auto" w:sz="4" w:space="0"/>
              <w:left w:val="single" w:color="auto" w:sz="4" w:space="0"/>
              <w:bottom w:val="single" w:color="auto" w:sz="4" w:space="0"/>
              <w:right w:val="single" w:color="auto" w:sz="4" w:space="0"/>
            </w:tcBorders>
            <w:vAlign w:val="center"/>
          </w:tcPr>
          <w:p w14:paraId="188CBF5F">
            <w:pPr>
              <w:spacing w:before="93" w:beforeLines="30" w:after="93" w:afterLines="30" w:line="360" w:lineRule="exact"/>
              <w:rPr>
                <w:rFonts w:hint="eastAsia" w:ascii="宋体" w:hAnsi="宋体"/>
                <w:bCs/>
                <w:iCs/>
                <w:sz w:val="24"/>
              </w:rPr>
            </w:pPr>
            <w:r>
              <w:rPr>
                <w:rFonts w:hint="eastAsia" w:ascii="宋体" w:hAnsi="宋体"/>
                <w:bCs/>
                <w:iCs/>
                <w:sz w:val="24"/>
              </w:rPr>
              <w:t xml:space="preserve">建峖实业投资（Janchor Partners </w:t>
            </w:r>
            <w:r>
              <w:rPr>
                <w:rFonts w:ascii="宋体" w:hAnsi="宋体"/>
                <w:bCs/>
                <w:iCs/>
                <w:sz w:val="24"/>
              </w:rPr>
              <w:t>Limited</w:t>
            </w:r>
            <w:r>
              <w:rPr>
                <w:rFonts w:hint="eastAsia" w:ascii="宋体" w:hAnsi="宋体"/>
                <w:bCs/>
                <w:iCs/>
                <w:sz w:val="24"/>
              </w:rPr>
              <w:t>）、上海处厚私募基金、南方期货、中信建投期货、中金资管、浙江弘悦私募基金、申万期货、兴合基金、汇丰晋信、苏州杉石资产、华泰保兴基金、中泰证券自营等机构投资者</w:t>
            </w:r>
          </w:p>
          <w:p w14:paraId="6A966A83">
            <w:pPr>
              <w:spacing w:before="93" w:beforeLines="30" w:after="93" w:afterLines="30" w:line="360" w:lineRule="exact"/>
              <w:rPr>
                <w:rFonts w:hint="eastAsia" w:ascii="宋体" w:hAnsi="宋体"/>
                <w:bCs/>
                <w:iCs/>
                <w:sz w:val="24"/>
              </w:rPr>
            </w:pPr>
            <w:r>
              <w:rPr>
                <w:rFonts w:hint="eastAsia" w:ascii="宋体" w:hAnsi="宋体"/>
                <w:bCs/>
                <w:iCs/>
                <w:sz w:val="24"/>
              </w:rPr>
              <w:t>东吴证券、财通证券、国投证券、中信建投证券、华安证券、中泰证券分析师 （排名不分先后）</w:t>
            </w:r>
          </w:p>
        </w:tc>
      </w:tr>
      <w:tr w14:paraId="57DA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93" w:type="pct"/>
            <w:tcBorders>
              <w:top w:val="single" w:color="auto" w:sz="4" w:space="0"/>
              <w:left w:val="single" w:color="auto" w:sz="4" w:space="0"/>
              <w:bottom w:val="single" w:color="auto" w:sz="4" w:space="0"/>
              <w:right w:val="single" w:color="auto" w:sz="4" w:space="0"/>
            </w:tcBorders>
            <w:vAlign w:val="center"/>
          </w:tcPr>
          <w:p w14:paraId="1F416030">
            <w:pPr>
              <w:spacing w:before="93" w:beforeLines="30" w:after="93" w:afterLines="30" w:line="380" w:lineRule="exact"/>
              <w:jc w:val="center"/>
              <w:rPr>
                <w:rFonts w:hint="eastAsia" w:ascii="宋体" w:hAnsi="宋体"/>
                <w:bCs/>
                <w:iCs/>
                <w:color w:val="000000"/>
                <w:sz w:val="24"/>
              </w:rPr>
            </w:pPr>
            <w:r>
              <w:rPr>
                <w:rFonts w:hint="eastAsia" w:ascii="宋体" w:hAnsi="宋体"/>
                <w:bCs/>
                <w:iCs/>
                <w:color w:val="000000"/>
                <w:sz w:val="24"/>
              </w:rPr>
              <w:t>时    间</w:t>
            </w:r>
          </w:p>
        </w:tc>
        <w:tc>
          <w:tcPr>
            <w:tcW w:w="4206" w:type="pct"/>
            <w:tcBorders>
              <w:top w:val="single" w:color="auto" w:sz="4" w:space="0"/>
              <w:left w:val="single" w:color="auto" w:sz="4" w:space="0"/>
              <w:bottom w:val="single" w:color="auto" w:sz="4" w:space="0"/>
              <w:right w:val="single" w:color="auto" w:sz="4" w:space="0"/>
            </w:tcBorders>
            <w:vAlign w:val="center"/>
          </w:tcPr>
          <w:p w14:paraId="2A13E236">
            <w:pPr>
              <w:spacing w:before="93" w:beforeLines="30" w:after="93" w:afterLines="30"/>
              <w:rPr>
                <w:rFonts w:hint="eastAsia" w:ascii="宋体" w:hAnsi="宋体"/>
                <w:bCs/>
                <w:iCs/>
                <w:sz w:val="24"/>
              </w:rPr>
            </w:pPr>
            <w:r>
              <w:rPr>
                <w:rFonts w:hint="eastAsia" w:ascii="宋体" w:hAnsi="宋体"/>
                <w:bCs/>
                <w:iCs/>
                <w:sz w:val="24"/>
              </w:rPr>
              <w:t>20</w:t>
            </w:r>
            <w:r>
              <w:rPr>
                <w:rFonts w:ascii="宋体" w:hAnsi="宋体"/>
                <w:bCs/>
                <w:iCs/>
                <w:sz w:val="24"/>
              </w:rPr>
              <w:t>2</w:t>
            </w:r>
            <w:r>
              <w:rPr>
                <w:rFonts w:hint="eastAsia" w:ascii="宋体" w:hAnsi="宋体"/>
                <w:bCs/>
                <w:iCs/>
                <w:sz w:val="24"/>
              </w:rPr>
              <w:t>5年5月-</w:t>
            </w:r>
            <w:r>
              <w:rPr>
                <w:rFonts w:ascii="宋体" w:hAnsi="宋体"/>
                <w:bCs/>
                <w:iCs/>
                <w:sz w:val="24"/>
              </w:rPr>
              <w:t>202</w:t>
            </w:r>
            <w:r>
              <w:rPr>
                <w:rFonts w:hint="eastAsia" w:ascii="宋体" w:hAnsi="宋体"/>
                <w:bCs/>
                <w:iCs/>
                <w:sz w:val="24"/>
              </w:rPr>
              <w:t>5年7月</w:t>
            </w:r>
          </w:p>
        </w:tc>
      </w:tr>
      <w:tr w14:paraId="109B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93" w:type="pct"/>
            <w:tcBorders>
              <w:top w:val="single" w:color="auto" w:sz="4" w:space="0"/>
              <w:left w:val="single" w:color="auto" w:sz="4" w:space="0"/>
              <w:bottom w:val="single" w:color="auto" w:sz="4" w:space="0"/>
              <w:right w:val="single" w:color="auto" w:sz="4" w:space="0"/>
            </w:tcBorders>
            <w:vAlign w:val="center"/>
          </w:tcPr>
          <w:p w14:paraId="61DCA5D9">
            <w:pPr>
              <w:spacing w:before="93" w:beforeLines="30" w:after="93" w:afterLines="30" w:line="380" w:lineRule="exact"/>
              <w:jc w:val="center"/>
              <w:rPr>
                <w:rFonts w:hint="eastAsia" w:ascii="宋体" w:hAnsi="宋体"/>
                <w:bCs/>
                <w:iCs/>
                <w:sz w:val="24"/>
              </w:rPr>
            </w:pPr>
            <w:r>
              <w:rPr>
                <w:rFonts w:hint="eastAsia" w:ascii="宋体" w:hAnsi="宋体"/>
                <w:bCs/>
                <w:iCs/>
                <w:sz w:val="24"/>
              </w:rPr>
              <w:t>地    点/沟通方式</w:t>
            </w:r>
          </w:p>
        </w:tc>
        <w:tc>
          <w:tcPr>
            <w:tcW w:w="4206" w:type="pct"/>
            <w:tcBorders>
              <w:top w:val="single" w:color="auto" w:sz="4" w:space="0"/>
              <w:left w:val="single" w:color="auto" w:sz="4" w:space="0"/>
              <w:bottom w:val="single" w:color="auto" w:sz="4" w:space="0"/>
              <w:right w:val="single" w:color="auto" w:sz="4" w:space="0"/>
            </w:tcBorders>
            <w:vAlign w:val="center"/>
          </w:tcPr>
          <w:p w14:paraId="68D36373">
            <w:pPr>
              <w:spacing w:before="93" w:beforeLines="30" w:after="93" w:afterLines="30"/>
              <w:rPr>
                <w:rFonts w:hint="eastAsia" w:ascii="宋体" w:hAnsi="宋体"/>
                <w:bCs/>
                <w:iCs/>
                <w:sz w:val="24"/>
              </w:rPr>
            </w:pPr>
            <w:r>
              <w:rPr>
                <w:rFonts w:hint="eastAsia" w:ascii="宋体" w:hAnsi="宋体"/>
                <w:bCs/>
                <w:iCs/>
                <w:sz w:val="24"/>
              </w:rPr>
              <w:t>线下策略会（上海、北京）</w:t>
            </w:r>
          </w:p>
        </w:tc>
      </w:tr>
      <w:tr w14:paraId="7AF3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pct"/>
            <w:tcBorders>
              <w:top w:val="single" w:color="auto" w:sz="4" w:space="0"/>
              <w:left w:val="single" w:color="auto" w:sz="4" w:space="0"/>
              <w:bottom w:val="single" w:color="auto" w:sz="4" w:space="0"/>
              <w:right w:val="single" w:color="auto" w:sz="4" w:space="0"/>
            </w:tcBorders>
            <w:vAlign w:val="center"/>
          </w:tcPr>
          <w:p w14:paraId="2B814A0F">
            <w:pPr>
              <w:spacing w:before="93" w:beforeLines="30" w:after="93" w:afterLines="30" w:line="380" w:lineRule="exact"/>
              <w:jc w:val="center"/>
              <w:rPr>
                <w:rFonts w:hint="eastAsia" w:ascii="宋体" w:hAnsi="宋体"/>
                <w:bCs/>
                <w:iCs/>
                <w:color w:val="000000"/>
                <w:sz w:val="24"/>
              </w:rPr>
            </w:pPr>
            <w:r>
              <w:rPr>
                <w:rFonts w:hint="eastAsia" w:ascii="宋体" w:hAnsi="宋体"/>
                <w:bCs/>
                <w:iCs/>
                <w:color w:val="000000"/>
                <w:sz w:val="24"/>
              </w:rPr>
              <w:t>上市公司参与人员</w:t>
            </w:r>
          </w:p>
        </w:tc>
        <w:tc>
          <w:tcPr>
            <w:tcW w:w="4206" w:type="pct"/>
            <w:tcBorders>
              <w:top w:val="single" w:color="auto" w:sz="4" w:space="0"/>
              <w:left w:val="single" w:color="auto" w:sz="4" w:space="0"/>
              <w:bottom w:val="single" w:color="auto" w:sz="4" w:space="0"/>
              <w:right w:val="single" w:color="auto" w:sz="4" w:space="0"/>
            </w:tcBorders>
            <w:shd w:val="clear" w:color="auto" w:fill="auto"/>
            <w:vAlign w:val="center"/>
          </w:tcPr>
          <w:p w14:paraId="1A02DF7E">
            <w:pPr>
              <w:spacing w:before="93" w:beforeLines="30" w:after="93" w:afterLines="30" w:line="400" w:lineRule="exact"/>
              <w:rPr>
                <w:rFonts w:hint="eastAsia" w:ascii="宋体" w:hAnsi="宋体"/>
                <w:bCs/>
                <w:iCs/>
                <w:sz w:val="24"/>
              </w:rPr>
            </w:pPr>
            <w:r>
              <w:rPr>
                <w:rFonts w:hint="eastAsia" w:ascii="宋体" w:hAnsi="宋体"/>
                <w:bCs/>
                <w:iCs/>
                <w:sz w:val="24"/>
              </w:rPr>
              <w:t xml:space="preserve">海南矿业副总裁、董事会秘书 </w:t>
            </w:r>
            <w:r>
              <w:rPr>
                <w:rFonts w:ascii="宋体" w:hAnsi="宋体"/>
                <w:bCs/>
                <w:iCs/>
                <w:sz w:val="24"/>
              </w:rPr>
              <w:t xml:space="preserve">        </w:t>
            </w:r>
            <w:r>
              <w:rPr>
                <w:rFonts w:hint="eastAsia" w:ascii="宋体" w:hAnsi="宋体"/>
                <w:bCs/>
                <w:iCs/>
                <w:sz w:val="24"/>
              </w:rPr>
              <w:t xml:space="preserve">何 </w:t>
            </w:r>
            <w:r>
              <w:rPr>
                <w:rFonts w:ascii="宋体" w:hAnsi="宋体"/>
                <w:bCs/>
                <w:iCs/>
                <w:sz w:val="24"/>
              </w:rPr>
              <w:t xml:space="preserve"> </w:t>
            </w:r>
            <w:r>
              <w:rPr>
                <w:rFonts w:hint="eastAsia" w:ascii="宋体" w:hAnsi="宋体"/>
                <w:bCs/>
                <w:iCs/>
                <w:sz w:val="24"/>
              </w:rPr>
              <w:t>婧</w:t>
            </w:r>
          </w:p>
          <w:p w14:paraId="7B44A788">
            <w:pPr>
              <w:spacing w:before="93" w:beforeLines="30" w:after="93" w:afterLines="30" w:line="400" w:lineRule="exact"/>
              <w:rPr>
                <w:rFonts w:hint="eastAsia" w:ascii="宋体" w:hAnsi="宋体"/>
                <w:bCs/>
                <w:iCs/>
                <w:sz w:val="24"/>
              </w:rPr>
            </w:pPr>
            <w:r>
              <w:rPr>
                <w:rFonts w:hint="eastAsia" w:ascii="宋体" w:hAnsi="宋体"/>
                <w:bCs/>
                <w:iCs/>
                <w:sz w:val="24"/>
              </w:rPr>
              <w:t xml:space="preserve">海南矿业投资者关系高级经理 </w:t>
            </w:r>
            <w:r>
              <w:rPr>
                <w:rFonts w:ascii="宋体" w:hAnsi="宋体"/>
                <w:bCs/>
                <w:iCs/>
                <w:sz w:val="24"/>
              </w:rPr>
              <w:t xml:space="preserve">        </w:t>
            </w:r>
            <w:r>
              <w:rPr>
                <w:rFonts w:hint="eastAsia" w:ascii="宋体" w:hAnsi="宋体"/>
                <w:bCs/>
                <w:iCs/>
                <w:sz w:val="24"/>
              </w:rPr>
              <w:t>杨丰源</w:t>
            </w:r>
          </w:p>
          <w:p w14:paraId="13DC068B">
            <w:pPr>
              <w:spacing w:before="93" w:beforeLines="30" w:after="93" w:afterLines="30" w:line="400" w:lineRule="exact"/>
              <w:rPr>
                <w:rFonts w:hint="eastAsia" w:ascii="宋体" w:hAnsi="宋体"/>
                <w:bCs/>
                <w:iCs/>
                <w:sz w:val="24"/>
              </w:rPr>
            </w:pPr>
            <w:r>
              <w:rPr>
                <w:rFonts w:hint="eastAsia" w:ascii="宋体" w:hAnsi="宋体"/>
                <w:bCs/>
                <w:iCs/>
                <w:sz w:val="24"/>
              </w:rPr>
              <w:t xml:space="preserve">海南矿业投资者关系经理 </w:t>
            </w:r>
            <w:r>
              <w:rPr>
                <w:rFonts w:ascii="宋体" w:hAnsi="宋体"/>
                <w:bCs/>
                <w:iCs/>
                <w:sz w:val="24"/>
              </w:rPr>
              <w:t xml:space="preserve">        </w:t>
            </w:r>
            <w:r>
              <w:rPr>
                <w:rFonts w:hint="eastAsia" w:ascii="宋体" w:hAnsi="宋体"/>
                <w:bCs/>
                <w:iCs/>
                <w:sz w:val="24"/>
              </w:rPr>
              <w:t xml:space="preserve">    周文智</w:t>
            </w:r>
          </w:p>
        </w:tc>
      </w:tr>
      <w:tr w14:paraId="2F85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93" w:type="pct"/>
            <w:tcBorders>
              <w:top w:val="single" w:color="auto" w:sz="4" w:space="0"/>
              <w:left w:val="single" w:color="auto" w:sz="4" w:space="0"/>
              <w:bottom w:val="single" w:color="auto" w:sz="4" w:space="0"/>
              <w:right w:val="single" w:color="auto" w:sz="4" w:space="0"/>
            </w:tcBorders>
            <w:vAlign w:val="center"/>
          </w:tcPr>
          <w:p w14:paraId="730BDDF4">
            <w:pPr>
              <w:spacing w:before="93" w:beforeLines="30" w:after="93" w:afterLines="30" w:line="380" w:lineRule="exact"/>
              <w:jc w:val="center"/>
              <w:rPr>
                <w:rFonts w:hint="eastAsia" w:ascii="宋体" w:hAnsi="宋体"/>
                <w:bCs/>
                <w:iCs/>
                <w:color w:val="000000"/>
                <w:sz w:val="24"/>
              </w:rPr>
            </w:pPr>
            <w:r>
              <w:rPr>
                <w:rFonts w:hint="eastAsia" w:ascii="宋体" w:hAnsi="宋体"/>
                <w:bCs/>
                <w:iCs/>
                <w:color w:val="000000"/>
                <w:sz w:val="24"/>
              </w:rPr>
              <w:t>投资者关系活动主要内容介绍</w:t>
            </w:r>
          </w:p>
        </w:tc>
        <w:tc>
          <w:tcPr>
            <w:tcW w:w="4206" w:type="pct"/>
            <w:tcBorders>
              <w:top w:val="single" w:color="auto" w:sz="4" w:space="0"/>
              <w:left w:val="single" w:color="auto" w:sz="4" w:space="0"/>
              <w:bottom w:val="single" w:color="auto" w:sz="4" w:space="0"/>
              <w:right w:val="single" w:color="auto" w:sz="4" w:space="0"/>
            </w:tcBorders>
            <w:shd w:val="clear" w:color="auto" w:fill="auto"/>
          </w:tcPr>
          <w:p w14:paraId="294ECE28">
            <w:pPr>
              <w:spacing w:line="360" w:lineRule="auto"/>
              <w:jc w:val="left"/>
              <w:rPr>
                <w:rFonts w:hint="eastAsia" w:ascii="宋体" w:hAnsi="宋体" w:cs="宋体"/>
                <w:b/>
                <w:bCs/>
              </w:rPr>
            </w:pPr>
            <w:r>
              <w:rPr>
                <w:rFonts w:hint="eastAsia" w:ascii="宋体" w:hAnsi="宋体" w:cs="宋体"/>
                <w:b/>
                <w:bCs/>
              </w:rPr>
              <w:t>交流的主要问题与回复：</w:t>
            </w:r>
          </w:p>
          <w:p w14:paraId="4F479964">
            <w:pPr>
              <w:pStyle w:val="17"/>
              <w:numPr>
                <w:ilvl w:val="0"/>
                <w:numId w:val="1"/>
              </w:numPr>
              <w:spacing w:line="360" w:lineRule="auto"/>
              <w:ind w:firstLine="422"/>
              <w:jc w:val="left"/>
              <w:rPr>
                <w:rFonts w:hint="eastAsia" w:ascii="宋体" w:hAnsi="宋体" w:cs="宋体"/>
                <w:b/>
                <w:bCs/>
              </w:rPr>
            </w:pPr>
            <w:r>
              <w:rPr>
                <w:rFonts w:hint="eastAsia" w:ascii="宋体" w:hAnsi="宋体" w:cs="宋体"/>
                <w:b/>
                <w:bCs/>
              </w:rPr>
              <w:t>公司铁矿石业务毛利率能保持在较高水平的原因？</w:t>
            </w:r>
          </w:p>
          <w:p w14:paraId="08D46866">
            <w:pPr>
              <w:pStyle w:val="17"/>
              <w:spacing w:line="360" w:lineRule="auto"/>
              <w:jc w:val="left"/>
              <w:rPr>
                <w:rFonts w:hint="eastAsia" w:ascii="宋体" w:hAnsi="宋体" w:cs="宋体"/>
              </w:rPr>
            </w:pPr>
            <w:r>
              <w:rPr>
                <w:rFonts w:hint="eastAsia" w:ascii="宋体" w:hAnsi="宋体" w:cs="宋体"/>
              </w:rPr>
              <w:t>今年</w:t>
            </w:r>
            <w:r>
              <w:rPr>
                <w:rFonts w:ascii="宋体" w:hAnsi="宋体" w:cs="宋体"/>
              </w:rPr>
              <w:t>一季度，铁矿石</w:t>
            </w:r>
            <w:r>
              <w:rPr>
                <w:rFonts w:hint="eastAsia" w:ascii="宋体" w:hAnsi="宋体" w:cs="宋体"/>
              </w:rPr>
              <w:t>业务</w:t>
            </w:r>
            <w:r>
              <w:rPr>
                <w:rFonts w:ascii="宋体" w:hAnsi="宋体" w:cs="宋体"/>
              </w:rPr>
              <w:t>的综合</w:t>
            </w:r>
            <w:r>
              <w:rPr>
                <w:rFonts w:hint="eastAsia" w:ascii="宋体" w:hAnsi="宋体" w:cs="宋体"/>
              </w:rPr>
              <w:t>毛利率</w:t>
            </w:r>
            <w:r>
              <w:rPr>
                <w:rFonts w:ascii="宋体" w:hAnsi="宋体" w:cs="宋体"/>
              </w:rPr>
              <w:t>为41%，其中块矿的毛利较高，达到58%。</w:t>
            </w:r>
          </w:p>
          <w:p w14:paraId="57B5C714">
            <w:pPr>
              <w:pStyle w:val="17"/>
              <w:spacing w:line="360" w:lineRule="auto"/>
              <w:jc w:val="left"/>
              <w:rPr>
                <w:rFonts w:hint="eastAsia" w:ascii="宋体" w:hAnsi="宋体" w:cs="宋体"/>
              </w:rPr>
            </w:pPr>
            <w:r>
              <w:rPr>
                <w:rFonts w:hint="eastAsia" w:ascii="宋体" w:hAnsi="宋体" w:cs="宋体"/>
              </w:rPr>
              <w:t>块矿具有成份稳定、粒度整齐且组成合理的特点，作为高炉配料具有“可调整炉料碱度、延长高炉寿命、含粉量低、性价比高”四方面优势，国内暂无替代产品。</w:t>
            </w:r>
          </w:p>
          <w:p w14:paraId="73A322AE">
            <w:pPr>
              <w:pStyle w:val="17"/>
              <w:spacing w:line="360" w:lineRule="auto"/>
              <w:jc w:val="left"/>
              <w:rPr>
                <w:rFonts w:hint="eastAsia" w:ascii="宋体" w:hAnsi="宋体" w:cs="宋体"/>
              </w:rPr>
            </w:pPr>
            <w:r>
              <w:rPr>
                <w:rFonts w:hint="eastAsia" w:ascii="宋体" w:hAnsi="宋体" w:cs="宋体"/>
              </w:rPr>
              <w:t>通过应用跳汰预选技术对原矿进行处理，减少后续磨选处理量，降低了单位块矿选矿成本。块矿客户以战略及长协客户为主，两类客户销售占比达到80%左右，块矿售价参考“Mysteel青岛港PB块62.5%现货价格”，其波动幅度一般小于62%普指。</w:t>
            </w:r>
          </w:p>
          <w:p w14:paraId="547653F0">
            <w:pPr>
              <w:pStyle w:val="17"/>
              <w:spacing w:line="360" w:lineRule="auto"/>
              <w:jc w:val="left"/>
              <w:rPr>
                <w:rFonts w:hint="eastAsia" w:ascii="宋体" w:hAnsi="宋体" w:cs="宋体"/>
              </w:rPr>
            </w:pPr>
            <w:r>
              <w:rPr>
                <w:rFonts w:hint="eastAsia" w:ascii="宋体" w:hAnsi="宋体" w:cs="宋体"/>
              </w:rPr>
              <w:t>基于生产成本低、产品特性带来的客户稳定以及售价走势跑赢市场的销售优势，块矿产品毛利率持续稳定在50%以上，成为海矿业绩安全垫的重要来源之一。</w:t>
            </w:r>
          </w:p>
          <w:p w14:paraId="5A7EF939">
            <w:pPr>
              <w:pStyle w:val="17"/>
              <w:ind w:left="21" w:leftChars="10"/>
              <w:jc w:val="left"/>
              <w:rPr>
                <w:rFonts w:hint="eastAsia" w:ascii="宋体" w:hAnsi="宋体" w:cs="宋体"/>
              </w:rPr>
            </w:pPr>
          </w:p>
          <w:p w14:paraId="542BF425">
            <w:pPr>
              <w:pStyle w:val="17"/>
              <w:numPr>
                <w:ilvl w:val="0"/>
                <w:numId w:val="1"/>
              </w:numPr>
              <w:spacing w:line="360" w:lineRule="auto"/>
              <w:ind w:firstLine="422"/>
              <w:jc w:val="left"/>
              <w:rPr>
                <w:rFonts w:hint="eastAsia" w:ascii="宋体" w:hAnsi="宋体" w:cs="宋体"/>
                <w:b/>
                <w:bCs/>
              </w:rPr>
            </w:pPr>
            <w:r>
              <w:rPr>
                <w:rFonts w:hint="eastAsia" w:ascii="宋体" w:hAnsi="宋体" w:cs="宋体"/>
                <w:b/>
                <w:bCs/>
              </w:rPr>
              <w:t>中东地缘冲突对公司油气业务有什么影响？</w:t>
            </w:r>
          </w:p>
          <w:p w14:paraId="3542139F">
            <w:pPr>
              <w:spacing w:line="360" w:lineRule="auto"/>
              <w:ind w:firstLine="420" w:firstLineChars="200"/>
              <w:jc w:val="left"/>
              <w:rPr>
                <w:rFonts w:hint="eastAsia" w:ascii="宋体" w:hAnsi="宋体" w:cs="宋体"/>
              </w:rPr>
            </w:pPr>
            <w:r>
              <w:rPr>
                <w:rFonts w:hint="eastAsia" w:ascii="宋体" w:hAnsi="宋体" w:cs="宋体"/>
              </w:rPr>
              <w:t>公司位于中国南海北部湾、马来西亚及阿曼苏丹国的在产油田项目均采用产品分成合同（PSC）模式，即将归属于公司的份额油直接销售给合作石油公司，原油产品销售价挂钩布伦特油价。6月中旬中东地缘冲突加剧拉高国际油价，公司原油产品售价短期相应获益。</w:t>
            </w:r>
          </w:p>
          <w:p w14:paraId="4CADF366">
            <w:pPr>
              <w:spacing w:line="360" w:lineRule="auto"/>
              <w:ind w:firstLine="420" w:firstLineChars="200"/>
              <w:jc w:val="left"/>
              <w:rPr>
                <w:rFonts w:hint="eastAsia" w:ascii="宋体" w:hAnsi="宋体" w:cs="宋体"/>
              </w:rPr>
            </w:pPr>
          </w:p>
          <w:p w14:paraId="485F7DC0">
            <w:pPr>
              <w:pStyle w:val="17"/>
              <w:numPr>
                <w:ilvl w:val="0"/>
                <w:numId w:val="1"/>
              </w:numPr>
              <w:spacing w:line="360" w:lineRule="auto"/>
              <w:ind w:firstLine="422"/>
              <w:jc w:val="left"/>
              <w:rPr>
                <w:rFonts w:hint="eastAsia" w:ascii="宋体" w:hAnsi="宋体" w:cs="宋体"/>
                <w:b/>
                <w:bCs/>
              </w:rPr>
            </w:pPr>
            <w:r>
              <w:rPr>
                <w:rFonts w:hint="eastAsia" w:ascii="宋体" w:hAnsi="宋体" w:cs="宋体"/>
                <w:b/>
                <w:bCs/>
              </w:rPr>
              <w:t>公司油气业务产量情况如何？</w:t>
            </w:r>
          </w:p>
          <w:p w14:paraId="12680598">
            <w:pPr>
              <w:spacing w:line="360" w:lineRule="auto"/>
              <w:ind w:firstLine="420" w:firstLineChars="200"/>
              <w:jc w:val="left"/>
              <w:rPr>
                <w:rFonts w:hint="eastAsia" w:ascii="宋体" w:hAnsi="宋体" w:cs="宋体"/>
              </w:rPr>
            </w:pPr>
            <w:r>
              <w:rPr>
                <w:rFonts w:hint="eastAsia" w:ascii="宋体" w:hAnsi="宋体" w:cs="宋体"/>
              </w:rPr>
              <w:t>2024年，公司油气权益产量为809.49万桶当量，净权益产量为612.97万桶单量，油气业务毛利率为31.10%。2025年，公司力争实现油气权益产量1074万桶当量，净权益产量764万桶当量。</w:t>
            </w:r>
          </w:p>
          <w:p w14:paraId="3BAB5FB3">
            <w:pPr>
              <w:spacing w:line="360" w:lineRule="auto"/>
              <w:ind w:firstLine="420" w:firstLineChars="200"/>
              <w:jc w:val="left"/>
              <w:rPr>
                <w:rFonts w:hint="eastAsia" w:ascii="宋体" w:hAnsi="宋体" w:cs="宋体"/>
              </w:rPr>
            </w:pPr>
          </w:p>
          <w:p w14:paraId="38833ACF">
            <w:pPr>
              <w:pStyle w:val="17"/>
              <w:numPr>
                <w:ilvl w:val="0"/>
                <w:numId w:val="1"/>
              </w:numPr>
              <w:spacing w:line="360" w:lineRule="auto"/>
              <w:ind w:firstLine="422"/>
              <w:jc w:val="left"/>
              <w:rPr>
                <w:rFonts w:hint="eastAsia" w:ascii="宋体" w:hAnsi="宋体" w:cs="宋体"/>
                <w:b/>
                <w:bCs/>
              </w:rPr>
            </w:pPr>
            <w:r>
              <w:rPr>
                <w:rFonts w:hint="eastAsia" w:ascii="宋体" w:hAnsi="宋体" w:cs="宋体"/>
                <w:b/>
                <w:bCs/>
              </w:rPr>
              <w:t>公司锂板块建设进展如何？</w:t>
            </w:r>
          </w:p>
          <w:p w14:paraId="1D73D671">
            <w:pPr>
              <w:spacing w:line="360" w:lineRule="auto"/>
              <w:ind w:firstLine="420" w:firstLineChars="200"/>
              <w:jc w:val="left"/>
              <w:rPr>
                <w:rFonts w:hint="eastAsia" w:ascii="宋体" w:hAnsi="宋体" w:cs="宋体"/>
              </w:rPr>
            </w:pPr>
            <w:r>
              <w:rPr>
                <w:rFonts w:hint="eastAsia" w:ascii="宋体" w:hAnsi="宋体" w:cs="宋体"/>
              </w:rPr>
              <w:t>新能源业务是公司转型升级的重要一环。目前公司主要围绕非洲马里布谷尼锂矿和海南洋浦开发区2万吨氢氧化锂加工项目进行建设。</w:t>
            </w:r>
          </w:p>
          <w:p w14:paraId="7FF66C36">
            <w:pPr>
              <w:spacing w:line="360" w:lineRule="auto"/>
              <w:ind w:firstLine="420" w:firstLineChars="200"/>
              <w:jc w:val="left"/>
              <w:rPr>
                <w:rFonts w:hint="eastAsia" w:ascii="宋体" w:hAnsi="宋体" w:cs="宋体"/>
              </w:rPr>
            </w:pPr>
            <w:r>
              <w:rPr>
                <w:rFonts w:hint="eastAsia" w:ascii="宋体" w:hAnsi="宋体" w:cs="宋体"/>
              </w:rPr>
              <w:t>布谷尼锂矿一期选矿厂已于今年一季度完成建设并具备连续稳定生产条件，并于4月完成了项目采矿权转移事项，于7月初完成一期项目锂辉石产品包销给公司（含子公司）的协议签署，目前正在持续推进项目</w:t>
            </w:r>
            <w:r>
              <w:rPr>
                <w:rFonts w:ascii="宋体" w:hAnsi="宋体" w:cs="宋体"/>
              </w:rPr>
              <w:t>出口许可</w:t>
            </w:r>
            <w:r>
              <w:rPr>
                <w:rFonts w:hint="eastAsia" w:ascii="宋体" w:hAnsi="宋体" w:cs="宋体"/>
              </w:rPr>
              <w:t>手续办理并配合完成政府入股等工作安排。</w:t>
            </w:r>
          </w:p>
          <w:p w14:paraId="2BA2588B">
            <w:pPr>
              <w:spacing w:line="360" w:lineRule="auto"/>
              <w:ind w:firstLine="420" w:firstLineChars="200"/>
              <w:jc w:val="left"/>
              <w:rPr>
                <w:rFonts w:hint="eastAsia" w:ascii="宋体" w:hAnsi="宋体" w:cs="宋体"/>
              </w:rPr>
            </w:pPr>
            <w:r>
              <w:rPr>
                <w:rFonts w:hint="eastAsia" w:ascii="宋体" w:hAnsi="宋体" w:cs="宋体"/>
              </w:rPr>
              <w:t>氢氧化锂项目</w:t>
            </w:r>
            <w:r>
              <w:rPr>
                <w:rFonts w:ascii="宋体" w:hAnsi="宋体" w:cs="宋体"/>
              </w:rPr>
              <w:t>经过冶金段的稳产调试，</w:t>
            </w:r>
            <w:r>
              <w:rPr>
                <w:rFonts w:hint="eastAsia" w:ascii="宋体" w:hAnsi="宋体" w:cs="宋体"/>
              </w:rPr>
              <w:t>已于今年5月下旬实现</w:t>
            </w:r>
            <w:r>
              <w:rPr>
                <w:rFonts w:ascii="宋体" w:hAnsi="宋体" w:cs="宋体"/>
              </w:rPr>
              <w:t>冶金段与湿法段实现全流程贯通，首批氢氧化锂</w:t>
            </w:r>
            <w:r>
              <w:rPr>
                <w:rFonts w:hint="eastAsia" w:ascii="宋体" w:hAnsi="宋体" w:cs="宋体"/>
              </w:rPr>
              <w:t>合格</w:t>
            </w:r>
            <w:r>
              <w:rPr>
                <w:rFonts w:ascii="宋体" w:hAnsi="宋体" w:cs="宋体"/>
              </w:rPr>
              <w:t>产品</w:t>
            </w:r>
            <w:r>
              <w:rPr>
                <w:rFonts w:hint="eastAsia" w:ascii="宋体" w:hAnsi="宋体" w:cs="宋体"/>
              </w:rPr>
              <w:t>下线</w:t>
            </w:r>
            <w:r>
              <w:rPr>
                <w:rFonts w:ascii="宋体" w:hAnsi="宋体" w:cs="宋体"/>
              </w:rPr>
              <w:t>。项目</w:t>
            </w:r>
            <w:r>
              <w:rPr>
                <w:rFonts w:hint="eastAsia" w:ascii="宋体" w:hAnsi="宋体" w:cs="宋体"/>
              </w:rPr>
              <w:t>正在</w:t>
            </w:r>
            <w:r>
              <w:rPr>
                <w:rFonts w:ascii="宋体" w:hAnsi="宋体" w:cs="宋体"/>
              </w:rPr>
              <w:t>进行持续调试和优化，以实现产品的连续稳定生产，并逐步实现产能提升以达到设计产能。公司还</w:t>
            </w:r>
            <w:r>
              <w:rPr>
                <w:rFonts w:hint="eastAsia" w:ascii="宋体" w:hAnsi="宋体" w:cs="宋体"/>
              </w:rPr>
              <w:t>在</w:t>
            </w:r>
            <w:r>
              <w:rPr>
                <w:rFonts w:ascii="宋体" w:hAnsi="宋体" w:cs="宋体"/>
              </w:rPr>
              <w:t>同步推动下游客户对项目产品的品质认证工作。</w:t>
            </w:r>
          </w:p>
          <w:p w14:paraId="0E2B88F7">
            <w:pPr>
              <w:spacing w:line="360" w:lineRule="auto"/>
              <w:ind w:firstLine="420" w:firstLineChars="200"/>
              <w:jc w:val="left"/>
              <w:rPr>
                <w:rFonts w:hint="eastAsia" w:ascii="宋体" w:hAnsi="宋体" w:cs="宋体"/>
              </w:rPr>
            </w:pPr>
          </w:p>
          <w:p w14:paraId="3732359C">
            <w:pPr>
              <w:pStyle w:val="17"/>
              <w:numPr>
                <w:ilvl w:val="0"/>
                <w:numId w:val="1"/>
              </w:numPr>
              <w:spacing w:line="360" w:lineRule="auto"/>
              <w:ind w:firstLine="422"/>
              <w:jc w:val="left"/>
              <w:rPr>
                <w:rFonts w:hint="eastAsia" w:ascii="宋体" w:hAnsi="宋体" w:cs="宋体"/>
                <w:b/>
                <w:bCs/>
              </w:rPr>
            </w:pPr>
            <w:r>
              <w:rPr>
                <w:rFonts w:hint="eastAsia" w:ascii="宋体" w:hAnsi="宋体" w:cs="宋体"/>
                <w:b/>
                <w:bCs/>
              </w:rPr>
              <w:t>发股购买莫桑比克锆钛矿项目进展如何？</w:t>
            </w:r>
          </w:p>
          <w:p w14:paraId="1C3F7F43">
            <w:pPr>
              <w:spacing w:line="360" w:lineRule="auto"/>
              <w:ind w:firstLine="420" w:firstLineChars="200"/>
              <w:jc w:val="left"/>
              <w:rPr>
                <w:rFonts w:hint="eastAsia" w:ascii="宋体" w:hAnsi="宋体" w:cs="宋体"/>
              </w:rPr>
            </w:pPr>
            <w:r>
              <w:rPr>
                <w:rFonts w:hint="eastAsia" w:ascii="宋体" w:hAnsi="宋体" w:cs="宋体"/>
              </w:rPr>
              <w:t>公司6月12日公告本次交易进展，由于交易对方为满足本次交易方案需对标的资产进行股权重组，且标的公司核心资产位于境外，尽职调查工作所需时间较长，本次交易所涉及的审计、评估等工作尚未完成，本次交易未能在规定期限内召开股东大会。</w:t>
            </w:r>
          </w:p>
          <w:p w14:paraId="4B01DBCC">
            <w:pPr>
              <w:spacing w:line="360" w:lineRule="auto"/>
              <w:ind w:firstLine="420" w:firstLineChars="200"/>
              <w:jc w:val="left"/>
              <w:rPr>
                <w:rFonts w:hint="eastAsia" w:ascii="宋体" w:hAnsi="宋体" w:cs="宋体"/>
              </w:rPr>
            </w:pPr>
            <w:r>
              <w:rPr>
                <w:rFonts w:hint="eastAsia" w:ascii="宋体" w:hAnsi="宋体" w:cs="宋体"/>
              </w:rPr>
              <w:t>交易双方将继续积极推进本次交易，协调各方尽快完成标的公司审计、评估等工作，并与交易对方进一步协商确定交易细节。后续公司将根据本次交易的进展情况，择机重新召开董事会审议本次交易相关事项，并以该次董事会决议公告日作为本次交易发行股份的定价基准日。</w:t>
            </w:r>
          </w:p>
          <w:p w14:paraId="2159EC44">
            <w:pPr>
              <w:spacing w:line="360" w:lineRule="auto"/>
              <w:ind w:firstLine="420" w:firstLineChars="200"/>
              <w:jc w:val="left"/>
              <w:rPr>
                <w:rFonts w:hint="eastAsia" w:ascii="宋体" w:hAnsi="宋体" w:cs="宋体"/>
              </w:rPr>
            </w:pPr>
          </w:p>
          <w:p w14:paraId="11C9A74D">
            <w:pPr>
              <w:pStyle w:val="17"/>
              <w:numPr>
                <w:ilvl w:val="0"/>
                <w:numId w:val="1"/>
              </w:numPr>
              <w:spacing w:line="360" w:lineRule="auto"/>
              <w:ind w:firstLine="422"/>
              <w:jc w:val="left"/>
              <w:rPr>
                <w:rFonts w:hint="eastAsia" w:ascii="宋体" w:hAnsi="宋体" w:cs="宋体"/>
                <w:b/>
                <w:bCs/>
              </w:rPr>
            </w:pPr>
            <w:r>
              <w:rPr>
                <w:rFonts w:hint="eastAsia" w:ascii="宋体" w:hAnsi="宋体" w:cs="宋体"/>
                <w:b/>
                <w:bCs/>
              </w:rPr>
              <w:t>公司是否有铜钴资源？</w:t>
            </w:r>
          </w:p>
          <w:p w14:paraId="0023EA1A">
            <w:pPr>
              <w:spacing w:line="360" w:lineRule="auto"/>
              <w:ind w:firstLine="420" w:firstLineChars="200"/>
              <w:jc w:val="left"/>
              <w:rPr>
                <w:rFonts w:hint="eastAsia" w:ascii="宋体" w:hAnsi="宋体" w:cs="宋体"/>
              </w:rPr>
            </w:pPr>
            <w:r>
              <w:rPr>
                <w:rFonts w:hint="eastAsia" w:ascii="宋体" w:hAnsi="宋体" w:cs="宋体"/>
              </w:rPr>
              <w:t>公司位于海南的石碌铁钴铜矿上层主要为铁矿石、钴铜矿多分布在下层，结合矿体分布情况公司优先开采上层铁矿石资源。钴金属资源量为10,879吨，权益储量4,851吨，铜金属资源量为53,755吨，权益储量为21,886吨。从现有研究情况来看，距离具备实际开采条件预计需要2-3年时间。</w:t>
            </w:r>
          </w:p>
          <w:p w14:paraId="7CD8929A">
            <w:pPr>
              <w:pStyle w:val="17"/>
              <w:ind w:left="21" w:leftChars="10"/>
              <w:jc w:val="left"/>
              <w:rPr>
                <w:rFonts w:hint="eastAsia" w:ascii="宋体" w:hAnsi="宋体" w:cs="宋体"/>
              </w:rPr>
            </w:pPr>
          </w:p>
          <w:p w14:paraId="1B7D0FC4">
            <w:pPr>
              <w:pStyle w:val="17"/>
              <w:numPr>
                <w:ilvl w:val="0"/>
                <w:numId w:val="1"/>
              </w:numPr>
              <w:adjustRightInd w:val="0"/>
              <w:snapToGrid w:val="0"/>
              <w:spacing w:line="276" w:lineRule="auto"/>
              <w:ind w:firstLine="422"/>
              <w:jc w:val="left"/>
              <w:rPr>
                <w:rFonts w:hint="eastAsia" w:ascii="宋体" w:hAnsi="宋体" w:cs="宋体"/>
                <w:b/>
                <w:bCs/>
              </w:rPr>
            </w:pPr>
            <w:r>
              <w:rPr>
                <w:rFonts w:hint="eastAsia" w:ascii="宋体" w:hAnsi="宋体" w:cs="宋体"/>
                <w:b/>
                <w:bCs/>
              </w:rPr>
              <w:t>海南自贸港封关可能对公司带来哪些有利影响？</w:t>
            </w:r>
          </w:p>
          <w:p w14:paraId="27D290C5">
            <w:pPr>
              <w:spacing w:line="360" w:lineRule="auto"/>
              <w:ind w:firstLine="420" w:firstLineChars="200"/>
              <w:jc w:val="left"/>
              <w:rPr>
                <w:rFonts w:hint="eastAsia" w:ascii="宋体" w:hAnsi="宋体" w:cs="宋体"/>
              </w:rPr>
            </w:pPr>
            <w:r>
              <w:rPr>
                <w:rFonts w:hint="eastAsia" w:ascii="宋体" w:hAnsi="宋体" w:cs="宋体"/>
              </w:rPr>
              <w:t>企业所得税和个人所得税优惠政策、人员进出自由便利政策等，使海矿降低了税费成本和增强人才招聘竞争力；跨境资金自由便利政策，尤其是多功能自由贸易账户（</w:t>
            </w:r>
            <w:r>
              <w:rPr>
                <w:rFonts w:ascii="宋体" w:hAnsi="宋体" w:cs="宋体"/>
              </w:rPr>
              <w:t>EF</w:t>
            </w:r>
            <w:r>
              <w:rPr>
                <w:rFonts w:hint="eastAsia" w:ascii="宋体" w:hAnsi="宋体" w:cs="宋体"/>
              </w:rPr>
              <w:t>账户）的正式上线运行，不仅海矿跨境资金限额扩大、境内外关联企业间资金调拨更自由，而且享有更开放的资本项目兑换、有助于大宗贸易业务的发展。</w:t>
            </w:r>
          </w:p>
          <w:p w14:paraId="5408A2BE">
            <w:pPr>
              <w:spacing w:line="360" w:lineRule="auto"/>
              <w:ind w:firstLine="420" w:firstLineChars="200"/>
              <w:jc w:val="left"/>
              <w:rPr>
                <w:rFonts w:hint="eastAsia" w:ascii="宋体" w:hAnsi="宋体" w:cs="宋体"/>
              </w:rPr>
            </w:pPr>
            <w:r>
              <w:rPr>
                <w:rFonts w:hint="eastAsia" w:ascii="宋体" w:hAnsi="宋体" w:cs="宋体"/>
              </w:rPr>
              <w:t>公司将持续关注封关政策的更新，如简税制等政策细则的出台和海南自贸港鼓励类产业方向，以充分利用政策实现降本增效并把握有利的产业投资机会。</w:t>
            </w:r>
          </w:p>
          <w:p w14:paraId="6A58304F">
            <w:pPr>
              <w:adjustRightInd w:val="0"/>
              <w:snapToGrid w:val="0"/>
              <w:spacing w:line="276" w:lineRule="auto"/>
              <w:ind w:firstLine="420" w:firstLineChars="200"/>
              <w:jc w:val="left"/>
              <w:rPr>
                <w:rFonts w:hint="eastAsia" w:ascii="宋体" w:hAnsi="宋体" w:cs="宋体"/>
              </w:rPr>
            </w:pPr>
          </w:p>
          <w:p w14:paraId="54422602">
            <w:pPr>
              <w:pStyle w:val="17"/>
              <w:numPr>
                <w:ilvl w:val="0"/>
                <w:numId w:val="1"/>
              </w:numPr>
              <w:adjustRightInd w:val="0"/>
              <w:snapToGrid w:val="0"/>
              <w:spacing w:line="276" w:lineRule="auto"/>
              <w:ind w:firstLine="422"/>
              <w:jc w:val="left"/>
              <w:rPr>
                <w:rFonts w:hint="eastAsia" w:ascii="宋体" w:hAnsi="宋体" w:cs="宋体"/>
                <w:b/>
                <w:bCs/>
              </w:rPr>
            </w:pPr>
            <w:r>
              <w:rPr>
                <w:rFonts w:hint="eastAsia" w:ascii="宋体" w:hAnsi="宋体" w:cs="宋体"/>
                <w:b/>
                <w:bCs/>
              </w:rPr>
              <w:t>公司铁矿石、油气、锂资源后续产量规划如何？</w:t>
            </w:r>
          </w:p>
          <w:p w14:paraId="08B8F65E">
            <w:pPr>
              <w:spacing w:line="360" w:lineRule="auto"/>
              <w:ind w:firstLine="420" w:firstLineChars="200"/>
              <w:jc w:val="left"/>
              <w:rPr>
                <w:rFonts w:hint="eastAsia" w:ascii="宋体" w:hAnsi="宋体" w:cs="宋体"/>
              </w:rPr>
            </w:pPr>
            <w:r>
              <w:rPr>
                <w:rFonts w:hint="eastAsia" w:ascii="宋体" w:hAnsi="宋体" w:cs="宋体"/>
              </w:rPr>
              <w:t>铁矿石业务方面，公司首要目标是将成品矿产量和毛利率稳定在较高的水平。在目前石碌铁矿露天矿减少、地采降段作业的情况下，一方面通过增加外购矿补充足够的原矿矿源，另一方面通过实施磁化焙烧技改及持续推进精益管理实现降本增效。公司</w:t>
            </w:r>
            <w:r>
              <w:rPr>
                <w:rFonts w:ascii="宋体" w:hAnsi="宋体" w:cs="宋体"/>
              </w:rPr>
              <w:t>2025</w:t>
            </w:r>
            <w:r>
              <w:rPr>
                <w:rFonts w:hint="eastAsia" w:ascii="宋体" w:hAnsi="宋体" w:cs="宋体"/>
              </w:rPr>
              <w:t>年铁矿石成品矿力争实现</w:t>
            </w:r>
            <w:r>
              <w:rPr>
                <w:rFonts w:ascii="宋体" w:hAnsi="宋体" w:cs="宋体"/>
              </w:rPr>
              <w:t>240</w:t>
            </w:r>
            <w:r>
              <w:rPr>
                <w:rFonts w:hint="eastAsia" w:ascii="宋体" w:hAnsi="宋体" w:cs="宋体"/>
              </w:rPr>
              <w:t>万吨。</w:t>
            </w:r>
          </w:p>
          <w:p w14:paraId="3AD02D3F">
            <w:pPr>
              <w:spacing w:line="360" w:lineRule="auto"/>
              <w:ind w:firstLine="420" w:firstLineChars="200"/>
              <w:jc w:val="left"/>
              <w:rPr>
                <w:rFonts w:hint="eastAsia" w:ascii="宋体" w:hAnsi="宋体" w:cs="宋体"/>
              </w:rPr>
            </w:pPr>
            <w:r>
              <w:rPr>
                <w:rFonts w:hint="eastAsia" w:ascii="宋体" w:hAnsi="宋体" w:cs="宋体"/>
              </w:rPr>
              <w:t>油气业务的产量将保持稳中有升，公司一方面用过外延式并购来扩大资产组合来增产储量和产量，例如：公司去年并购阿曼项目增加原油储量、产量和延长服务期；另外一方面在已有的项目中继续寻找增长点，例如：对八角场气田产能进行扩容、积极推动中国涠洲</w:t>
            </w:r>
            <w:r>
              <w:rPr>
                <w:rFonts w:ascii="宋体" w:hAnsi="宋体" w:cs="宋体"/>
              </w:rPr>
              <w:t>10-3</w:t>
            </w:r>
            <w:r>
              <w:rPr>
                <w:rFonts w:hint="eastAsia" w:ascii="宋体" w:hAnsi="宋体" w:cs="宋体"/>
              </w:rPr>
              <w:t>油田西区开发工作，目标在</w:t>
            </w:r>
            <w:r>
              <w:rPr>
                <w:rFonts w:ascii="宋体" w:hAnsi="宋体" w:cs="宋体"/>
              </w:rPr>
              <w:t>2026</w:t>
            </w:r>
            <w:r>
              <w:rPr>
                <w:rFonts w:hint="eastAsia" w:ascii="宋体" w:hAnsi="宋体" w:cs="宋体"/>
              </w:rPr>
              <w:t>年一季度实现投产。</w:t>
            </w:r>
            <w:r>
              <w:rPr>
                <w:rFonts w:ascii="宋体" w:hAnsi="宋体" w:cs="宋体"/>
              </w:rPr>
              <w:t xml:space="preserve"> 2025</w:t>
            </w:r>
            <w:r>
              <w:rPr>
                <w:rFonts w:hint="eastAsia" w:ascii="宋体" w:hAnsi="宋体" w:cs="宋体"/>
              </w:rPr>
              <w:t>年，公司将力争实现八角场气田全年产量提升</w:t>
            </w:r>
            <w:r>
              <w:rPr>
                <w:rFonts w:ascii="宋体" w:hAnsi="宋体" w:cs="宋体"/>
              </w:rPr>
              <w:t xml:space="preserve"> 30%</w:t>
            </w:r>
            <w:r>
              <w:rPr>
                <w:rFonts w:hint="eastAsia" w:ascii="宋体" w:hAnsi="宋体" w:cs="宋体"/>
              </w:rPr>
              <w:t>，油气产量目标为</w:t>
            </w:r>
            <w:r>
              <w:rPr>
                <w:rFonts w:ascii="宋体" w:hAnsi="宋体" w:cs="宋体"/>
              </w:rPr>
              <w:t>1074</w:t>
            </w:r>
            <w:r>
              <w:rPr>
                <w:rFonts w:hint="eastAsia" w:ascii="宋体" w:hAnsi="宋体" w:cs="宋体"/>
              </w:rPr>
              <w:t>万桶当量，油气销量目标</w:t>
            </w:r>
            <w:r>
              <w:rPr>
                <w:rFonts w:ascii="宋体" w:hAnsi="宋体" w:cs="宋体"/>
              </w:rPr>
              <w:t>764</w:t>
            </w:r>
            <w:r>
              <w:rPr>
                <w:rFonts w:hint="eastAsia" w:ascii="宋体" w:hAnsi="宋体" w:cs="宋体"/>
              </w:rPr>
              <w:t>万桶当量。</w:t>
            </w:r>
          </w:p>
          <w:p w14:paraId="5F648D19">
            <w:pPr>
              <w:pStyle w:val="17"/>
              <w:spacing w:line="360" w:lineRule="auto"/>
              <w:jc w:val="left"/>
              <w:rPr>
                <w:rFonts w:hint="eastAsia" w:ascii="宋体" w:hAnsi="宋体" w:cs="宋体"/>
              </w:rPr>
            </w:pPr>
            <w:r>
              <w:rPr>
                <w:rFonts w:hint="eastAsia" w:ascii="宋体" w:hAnsi="宋体" w:cs="宋体"/>
              </w:rPr>
              <w:t>新能源上游锂矿及锂盐加工等项目有序推进。布谷尼锂矿已完成建设并具备连续稳定生产条件，公司将持续推进项目投产并配合完成政府入股</w:t>
            </w:r>
            <w:r>
              <w:rPr>
                <w:rFonts w:ascii="宋体" w:hAnsi="宋体" w:cs="宋体"/>
              </w:rPr>
              <w:t>LMLB</w:t>
            </w:r>
            <w:r>
              <w:rPr>
                <w:rFonts w:hint="eastAsia" w:ascii="宋体" w:hAnsi="宋体" w:cs="宋体"/>
              </w:rPr>
              <w:t>等工作安排；氢氧化锂项目首批氢氧化锂产品参数达到设计标准，项目将进行持续调试和优化，以实现产品的连续稳定生产，并逐步实现产能提升以达到设计产能。</w:t>
            </w:r>
            <w:r>
              <w:rPr>
                <w:rFonts w:ascii="宋体" w:hAnsi="宋体" w:cs="宋体"/>
              </w:rPr>
              <w:t xml:space="preserve">2025 </w:t>
            </w:r>
            <w:r>
              <w:rPr>
                <w:rFonts w:hint="eastAsia" w:ascii="宋体" w:hAnsi="宋体" w:cs="宋体"/>
              </w:rPr>
              <w:t>年</w:t>
            </w:r>
            <w:r>
              <w:rPr>
                <w:rFonts w:ascii="宋体" w:hAnsi="宋体" w:cs="宋体"/>
              </w:rPr>
              <w:t xml:space="preserve"> KMUK </w:t>
            </w:r>
            <w:r>
              <w:rPr>
                <w:rFonts w:hint="eastAsia" w:ascii="宋体" w:hAnsi="宋体" w:cs="宋体"/>
              </w:rPr>
              <w:t>力争实现</w:t>
            </w:r>
            <w:r>
              <w:rPr>
                <w:rFonts w:ascii="宋体" w:hAnsi="宋体" w:cs="宋体"/>
              </w:rPr>
              <w:t>5.5%</w:t>
            </w:r>
            <w:r>
              <w:rPr>
                <w:rFonts w:hint="eastAsia" w:ascii="宋体" w:hAnsi="宋体" w:cs="宋体"/>
              </w:rPr>
              <w:t>以上锂精矿产量</w:t>
            </w:r>
            <w:r>
              <w:rPr>
                <w:rFonts w:ascii="宋体" w:hAnsi="宋体" w:cs="宋体"/>
              </w:rPr>
              <w:t>13</w:t>
            </w:r>
            <w:r>
              <w:rPr>
                <w:rFonts w:hint="eastAsia" w:ascii="宋体" w:hAnsi="宋体" w:cs="宋体"/>
              </w:rPr>
              <w:t>万吨，销量</w:t>
            </w:r>
            <w:r>
              <w:rPr>
                <w:rFonts w:ascii="宋体" w:hAnsi="宋体" w:cs="宋体"/>
              </w:rPr>
              <w:t>12</w:t>
            </w:r>
            <w:r>
              <w:rPr>
                <w:rFonts w:hint="eastAsia" w:ascii="宋体" w:hAnsi="宋体" w:cs="宋体"/>
              </w:rPr>
              <w:t>万吨；星之海力争实现氢氧化锂</w:t>
            </w:r>
            <w:bookmarkStart w:id="0" w:name="_GoBack"/>
            <w:bookmarkEnd w:id="0"/>
            <w:r>
              <w:rPr>
                <w:rFonts w:hint="eastAsia" w:ascii="宋体" w:hAnsi="宋体" w:cs="宋体"/>
              </w:rPr>
              <w:t>产量</w:t>
            </w:r>
            <w:r>
              <w:rPr>
                <w:rFonts w:ascii="宋体" w:hAnsi="宋体" w:cs="宋体"/>
              </w:rPr>
              <w:t>1</w:t>
            </w:r>
            <w:r>
              <w:rPr>
                <w:rFonts w:hint="eastAsia" w:ascii="宋体" w:hAnsi="宋体" w:cs="宋体"/>
              </w:rPr>
              <w:t>万吨，销量</w:t>
            </w:r>
            <w:r>
              <w:rPr>
                <w:rFonts w:ascii="宋体" w:hAnsi="宋体" w:cs="宋体"/>
              </w:rPr>
              <w:t>0.9</w:t>
            </w:r>
            <w:r>
              <w:rPr>
                <w:rFonts w:hint="eastAsia" w:ascii="宋体" w:hAnsi="宋体" w:cs="宋体"/>
              </w:rPr>
              <w:t>万吨。</w:t>
            </w:r>
          </w:p>
        </w:tc>
      </w:tr>
      <w:tr w14:paraId="71DF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pct"/>
            <w:tcBorders>
              <w:top w:val="single" w:color="auto" w:sz="4" w:space="0"/>
              <w:left w:val="single" w:color="auto" w:sz="4" w:space="0"/>
              <w:bottom w:val="single" w:color="auto" w:sz="4" w:space="0"/>
              <w:right w:val="single" w:color="auto" w:sz="4" w:space="0"/>
            </w:tcBorders>
            <w:vAlign w:val="center"/>
          </w:tcPr>
          <w:p w14:paraId="3B6E80EF">
            <w:pPr>
              <w:spacing w:before="93" w:beforeLines="30" w:after="93" w:afterLines="30" w:line="380" w:lineRule="exact"/>
              <w:jc w:val="center"/>
              <w:rPr>
                <w:rFonts w:hint="eastAsia" w:ascii="宋体" w:hAnsi="宋体"/>
                <w:bCs/>
                <w:iCs/>
                <w:color w:val="000000"/>
                <w:sz w:val="24"/>
              </w:rPr>
            </w:pPr>
            <w:r>
              <w:rPr>
                <w:rFonts w:hint="eastAsia" w:ascii="宋体" w:hAnsi="宋体"/>
                <w:bCs/>
                <w:iCs/>
                <w:color w:val="000000"/>
                <w:sz w:val="24"/>
              </w:rPr>
              <w:t>附件清单（如有）</w:t>
            </w:r>
          </w:p>
        </w:tc>
        <w:tc>
          <w:tcPr>
            <w:tcW w:w="4206" w:type="pct"/>
            <w:tcBorders>
              <w:top w:val="single" w:color="auto" w:sz="4" w:space="0"/>
              <w:left w:val="single" w:color="auto" w:sz="4" w:space="0"/>
              <w:bottom w:val="single" w:color="auto" w:sz="4" w:space="0"/>
              <w:right w:val="single" w:color="auto" w:sz="4" w:space="0"/>
            </w:tcBorders>
            <w:vAlign w:val="center"/>
          </w:tcPr>
          <w:p w14:paraId="19552100">
            <w:pPr>
              <w:spacing w:before="93" w:beforeLines="30" w:after="93" w:afterLines="30" w:line="360" w:lineRule="auto"/>
              <w:rPr>
                <w:rFonts w:hint="eastAsia" w:ascii="宋体" w:hAnsi="宋体"/>
                <w:bCs/>
                <w:iCs/>
                <w:color w:val="000000"/>
                <w:sz w:val="24"/>
              </w:rPr>
            </w:pPr>
            <w:r>
              <w:rPr>
                <w:rFonts w:hint="eastAsia"/>
                <w:sz w:val="24"/>
              </w:rPr>
              <w:t>无</w:t>
            </w:r>
          </w:p>
        </w:tc>
      </w:tr>
      <w:tr w14:paraId="563A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pct"/>
            <w:tcBorders>
              <w:top w:val="single" w:color="auto" w:sz="4" w:space="0"/>
              <w:left w:val="single" w:color="auto" w:sz="4" w:space="0"/>
              <w:bottom w:val="single" w:color="auto" w:sz="4" w:space="0"/>
              <w:right w:val="single" w:color="auto" w:sz="4" w:space="0"/>
            </w:tcBorders>
            <w:vAlign w:val="center"/>
          </w:tcPr>
          <w:p w14:paraId="2F8D3275">
            <w:pPr>
              <w:spacing w:before="93" w:beforeLines="30" w:after="93" w:afterLines="30" w:line="380" w:lineRule="exact"/>
              <w:jc w:val="center"/>
              <w:rPr>
                <w:rFonts w:hint="eastAsia" w:ascii="宋体" w:hAnsi="宋体"/>
                <w:bCs/>
                <w:iCs/>
                <w:sz w:val="24"/>
              </w:rPr>
            </w:pPr>
            <w:r>
              <w:rPr>
                <w:rFonts w:hint="eastAsia" w:ascii="宋体" w:hAnsi="宋体"/>
                <w:bCs/>
                <w:iCs/>
                <w:sz w:val="24"/>
              </w:rPr>
              <w:t>填报日期</w:t>
            </w:r>
          </w:p>
        </w:tc>
        <w:tc>
          <w:tcPr>
            <w:tcW w:w="4206" w:type="pct"/>
            <w:tcBorders>
              <w:top w:val="single" w:color="auto" w:sz="4" w:space="0"/>
              <w:left w:val="single" w:color="auto" w:sz="4" w:space="0"/>
              <w:bottom w:val="single" w:color="auto" w:sz="4" w:space="0"/>
              <w:right w:val="single" w:color="auto" w:sz="4" w:space="0"/>
            </w:tcBorders>
            <w:vAlign w:val="center"/>
          </w:tcPr>
          <w:p w14:paraId="56D576C3">
            <w:pPr>
              <w:spacing w:before="93" w:beforeLines="30" w:after="93" w:afterLines="30" w:line="360" w:lineRule="auto"/>
              <w:rPr>
                <w:rFonts w:hint="eastAsia" w:ascii="宋体" w:hAnsi="宋体"/>
                <w:bCs/>
                <w:iCs/>
                <w:sz w:val="24"/>
              </w:rPr>
            </w:pPr>
            <w:r>
              <w:rPr>
                <w:rFonts w:hint="eastAsia" w:ascii="宋体" w:hAnsi="宋体"/>
                <w:bCs/>
                <w:iCs/>
                <w:sz w:val="24"/>
              </w:rPr>
              <w:t>20</w:t>
            </w:r>
            <w:r>
              <w:rPr>
                <w:rFonts w:ascii="宋体" w:hAnsi="宋体"/>
                <w:bCs/>
                <w:iCs/>
                <w:sz w:val="24"/>
              </w:rPr>
              <w:t>2</w:t>
            </w:r>
            <w:r>
              <w:rPr>
                <w:rFonts w:hint="eastAsia" w:ascii="宋体" w:hAnsi="宋体"/>
                <w:bCs/>
                <w:iCs/>
                <w:sz w:val="24"/>
              </w:rPr>
              <w:t>5年7月14日</w:t>
            </w:r>
          </w:p>
        </w:tc>
      </w:tr>
    </w:tbl>
    <w:p w14:paraId="0A8D9576">
      <w:pPr>
        <w:rPr>
          <w:rFonts w:hint="eastAsia" w:asciiTheme="majorEastAsia" w:hAnsiTheme="majorEastAsia" w:eastAsiaTheme="majorEastAsia"/>
          <w:sz w:val="24"/>
        </w:rPr>
      </w:pPr>
    </w:p>
    <w:sectPr>
      <w:headerReference r:id="rId3" w:type="default"/>
      <w:pgSz w:w="11906" w:h="16838"/>
      <w:pgMar w:top="1304" w:right="1797" w:bottom="1304" w:left="1797" w:header="284"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61B11">
    <w:pPr>
      <w:pStyle w:val="7"/>
      <w:pBdr>
        <w:bottom w:val="single" w:color="auto" w:sz="4" w:space="1"/>
      </w:pBdr>
      <w:jc w:val="both"/>
    </w:pPr>
    <w:r>
      <w:rPr>
        <w:rFonts w:hint="eastAsia"/>
      </w:rPr>
      <w:t xml:space="preserve">  </w:t>
    </w:r>
  </w:p>
  <w:p w14:paraId="5EA9596E">
    <w:pPr>
      <w:pStyle w:val="7"/>
      <w:pBdr>
        <w:bottom w:val="single" w:color="auto" w:sz="4" w:space="1"/>
      </w:pBdr>
      <w:jc w:val="both"/>
    </w:pPr>
  </w:p>
  <w:p w14:paraId="21D8AD46">
    <w:pPr>
      <w:pStyle w:val="7"/>
      <w:pBdr>
        <w:bottom w:val="single" w:color="auto" w:sz="4" w:space="1"/>
      </w:pBdr>
      <w:jc w:val="both"/>
    </w:pPr>
  </w:p>
  <w:p w14:paraId="107C27E1">
    <w:pPr>
      <w:pStyle w:val="7"/>
      <w:pBdr>
        <w:bottom w:val="single" w:color="auto" w:sz="4" w:space="1"/>
      </w:pBdr>
      <w:jc w:val="left"/>
    </w:pPr>
  </w:p>
  <w:p w14:paraId="0612A73A">
    <w:pPr>
      <w:pStyle w:val="7"/>
      <w:pBdr>
        <w:bottom w:val="single" w:color="auto" w:sz="4" w:space="1"/>
      </w:pBdr>
      <w:jc w:val="left"/>
      <w:rPr>
        <w:sz w:val="21"/>
        <w:szCs w:val="21"/>
      </w:rPr>
    </w:pPr>
    <w:r>
      <w:rPr>
        <w:rFonts w:hint="eastAsia"/>
        <w:sz w:val="21"/>
        <w:szCs w:val="21"/>
      </w:rPr>
      <w:t>证券代码：60</w:t>
    </w:r>
    <w:r>
      <w:rPr>
        <w:sz w:val="21"/>
        <w:szCs w:val="21"/>
      </w:rPr>
      <w:t>1969</w:t>
    </w:r>
    <w:r>
      <w:rPr>
        <w:rFonts w:hint="eastAsia"/>
        <w:sz w:val="21"/>
        <w:szCs w:val="21"/>
      </w:rPr>
      <w:t xml:space="preserve">     </w:t>
    </w:r>
    <w:r>
      <w:rPr>
        <w:sz w:val="21"/>
        <w:szCs w:val="21"/>
      </w:rPr>
      <w:t xml:space="preserve">                                      </w:t>
    </w:r>
    <w:r>
      <w:rPr>
        <w:rFonts w:hint="eastAsia"/>
        <w:sz w:val="21"/>
        <w:szCs w:val="21"/>
      </w:rPr>
      <w:t xml:space="preserve"> 证券简称：海南矿业</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683BDC"/>
    <w:multiLevelType w:val="multilevel"/>
    <w:tmpl w:val="16683BDC"/>
    <w:lvl w:ilvl="0" w:tentative="0">
      <w:start w:val="1"/>
      <w:numFmt w:val="decimal"/>
      <w:suff w:val="space"/>
      <w:lvlText w:val="%1、"/>
      <w:lvlJc w:val="left"/>
      <w:pPr>
        <w:ind w:left="360" w:hanging="360"/>
      </w:pPr>
      <w:rPr>
        <w:rFonts w:hint="default"/>
        <w:b/>
        <w:bCs/>
        <w:color w:val="auto"/>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oNotDisplayPageBoundaries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719"/>
    <w:rsid w:val="00000B7F"/>
    <w:rsid w:val="00004CBE"/>
    <w:rsid w:val="00007F1E"/>
    <w:rsid w:val="000102B6"/>
    <w:rsid w:val="0001083B"/>
    <w:rsid w:val="00011956"/>
    <w:rsid w:val="000138D4"/>
    <w:rsid w:val="00015253"/>
    <w:rsid w:val="0001527D"/>
    <w:rsid w:val="00016F16"/>
    <w:rsid w:val="000174DD"/>
    <w:rsid w:val="00020121"/>
    <w:rsid w:val="00020239"/>
    <w:rsid w:val="00026C0B"/>
    <w:rsid w:val="00026D4F"/>
    <w:rsid w:val="00030E79"/>
    <w:rsid w:val="0003199D"/>
    <w:rsid w:val="00033C7C"/>
    <w:rsid w:val="000352B8"/>
    <w:rsid w:val="00036FE3"/>
    <w:rsid w:val="0004188E"/>
    <w:rsid w:val="00041920"/>
    <w:rsid w:val="0004353A"/>
    <w:rsid w:val="0004367A"/>
    <w:rsid w:val="00043A08"/>
    <w:rsid w:val="00044EFF"/>
    <w:rsid w:val="00047396"/>
    <w:rsid w:val="0005009F"/>
    <w:rsid w:val="00050F54"/>
    <w:rsid w:val="00051147"/>
    <w:rsid w:val="000521D8"/>
    <w:rsid w:val="00052F07"/>
    <w:rsid w:val="00055943"/>
    <w:rsid w:val="00061016"/>
    <w:rsid w:val="00062422"/>
    <w:rsid w:val="000636C8"/>
    <w:rsid w:val="00066D81"/>
    <w:rsid w:val="00067700"/>
    <w:rsid w:val="00071B4C"/>
    <w:rsid w:val="0007356E"/>
    <w:rsid w:val="00075C1D"/>
    <w:rsid w:val="00075C58"/>
    <w:rsid w:val="00076A03"/>
    <w:rsid w:val="000833B0"/>
    <w:rsid w:val="00085B6E"/>
    <w:rsid w:val="00087878"/>
    <w:rsid w:val="000A0619"/>
    <w:rsid w:val="000A20F1"/>
    <w:rsid w:val="000A2421"/>
    <w:rsid w:val="000A6A41"/>
    <w:rsid w:val="000A705E"/>
    <w:rsid w:val="000A7BEA"/>
    <w:rsid w:val="000B02F7"/>
    <w:rsid w:val="000B1D92"/>
    <w:rsid w:val="000B210B"/>
    <w:rsid w:val="000B41C6"/>
    <w:rsid w:val="000B4993"/>
    <w:rsid w:val="000B5D97"/>
    <w:rsid w:val="000B67AE"/>
    <w:rsid w:val="000C052D"/>
    <w:rsid w:val="000C2D0A"/>
    <w:rsid w:val="000C716F"/>
    <w:rsid w:val="000D6348"/>
    <w:rsid w:val="000D73FB"/>
    <w:rsid w:val="000D79C1"/>
    <w:rsid w:val="000E4671"/>
    <w:rsid w:val="000E529E"/>
    <w:rsid w:val="000E59F6"/>
    <w:rsid w:val="000E5E25"/>
    <w:rsid w:val="000F366E"/>
    <w:rsid w:val="000F3846"/>
    <w:rsid w:val="000F612B"/>
    <w:rsid w:val="000F6CFE"/>
    <w:rsid w:val="000F7CE5"/>
    <w:rsid w:val="00100D70"/>
    <w:rsid w:val="00102C53"/>
    <w:rsid w:val="00103B75"/>
    <w:rsid w:val="00104526"/>
    <w:rsid w:val="0010470B"/>
    <w:rsid w:val="001056C8"/>
    <w:rsid w:val="00106C81"/>
    <w:rsid w:val="00110773"/>
    <w:rsid w:val="00111608"/>
    <w:rsid w:val="0011258A"/>
    <w:rsid w:val="00112B18"/>
    <w:rsid w:val="0011431F"/>
    <w:rsid w:val="00116F93"/>
    <w:rsid w:val="00120C96"/>
    <w:rsid w:val="0012196E"/>
    <w:rsid w:val="00124F2E"/>
    <w:rsid w:val="00133BFF"/>
    <w:rsid w:val="00136316"/>
    <w:rsid w:val="001368C4"/>
    <w:rsid w:val="001400F8"/>
    <w:rsid w:val="00140A69"/>
    <w:rsid w:val="00141451"/>
    <w:rsid w:val="001419F8"/>
    <w:rsid w:val="00144008"/>
    <w:rsid w:val="0014684F"/>
    <w:rsid w:val="00146C85"/>
    <w:rsid w:val="001532B4"/>
    <w:rsid w:val="001532F3"/>
    <w:rsid w:val="00156C40"/>
    <w:rsid w:val="001622F8"/>
    <w:rsid w:val="001625C8"/>
    <w:rsid w:val="00163523"/>
    <w:rsid w:val="00166E6A"/>
    <w:rsid w:val="00173FCD"/>
    <w:rsid w:val="00174580"/>
    <w:rsid w:val="00174F23"/>
    <w:rsid w:val="00175A26"/>
    <w:rsid w:val="00176B59"/>
    <w:rsid w:val="00176EA1"/>
    <w:rsid w:val="00177283"/>
    <w:rsid w:val="00190F08"/>
    <w:rsid w:val="00193032"/>
    <w:rsid w:val="0019419E"/>
    <w:rsid w:val="0019474B"/>
    <w:rsid w:val="001950FB"/>
    <w:rsid w:val="0019589F"/>
    <w:rsid w:val="00195975"/>
    <w:rsid w:val="00197D60"/>
    <w:rsid w:val="001A406C"/>
    <w:rsid w:val="001A5ED0"/>
    <w:rsid w:val="001A689E"/>
    <w:rsid w:val="001B19A0"/>
    <w:rsid w:val="001B2FE6"/>
    <w:rsid w:val="001B5157"/>
    <w:rsid w:val="001C17AE"/>
    <w:rsid w:val="001C296F"/>
    <w:rsid w:val="001D273D"/>
    <w:rsid w:val="001D2F1D"/>
    <w:rsid w:val="001D2F46"/>
    <w:rsid w:val="001D3368"/>
    <w:rsid w:val="001D49E6"/>
    <w:rsid w:val="001D67DD"/>
    <w:rsid w:val="001D6A29"/>
    <w:rsid w:val="001E0F29"/>
    <w:rsid w:val="001E2132"/>
    <w:rsid w:val="001E42E0"/>
    <w:rsid w:val="001E7298"/>
    <w:rsid w:val="001F2595"/>
    <w:rsid w:val="001F2778"/>
    <w:rsid w:val="001F34DF"/>
    <w:rsid w:val="001F3FDD"/>
    <w:rsid w:val="001F735E"/>
    <w:rsid w:val="00205052"/>
    <w:rsid w:val="002114CE"/>
    <w:rsid w:val="0021211B"/>
    <w:rsid w:val="00212836"/>
    <w:rsid w:val="00215C15"/>
    <w:rsid w:val="00216A3E"/>
    <w:rsid w:val="0021749D"/>
    <w:rsid w:val="00223B81"/>
    <w:rsid w:val="00225D6A"/>
    <w:rsid w:val="002303B1"/>
    <w:rsid w:val="002328FF"/>
    <w:rsid w:val="002356A3"/>
    <w:rsid w:val="00235C89"/>
    <w:rsid w:val="00235EB2"/>
    <w:rsid w:val="002366E9"/>
    <w:rsid w:val="00240804"/>
    <w:rsid w:val="0024118F"/>
    <w:rsid w:val="002419DC"/>
    <w:rsid w:val="0024420A"/>
    <w:rsid w:val="00245FDC"/>
    <w:rsid w:val="0025285A"/>
    <w:rsid w:val="0025318B"/>
    <w:rsid w:val="00254668"/>
    <w:rsid w:val="002562AB"/>
    <w:rsid w:val="00256434"/>
    <w:rsid w:val="002577E2"/>
    <w:rsid w:val="002611E4"/>
    <w:rsid w:val="002612B7"/>
    <w:rsid w:val="0026182D"/>
    <w:rsid w:val="00262CEA"/>
    <w:rsid w:val="00263579"/>
    <w:rsid w:val="002679B3"/>
    <w:rsid w:val="00270624"/>
    <w:rsid w:val="00273095"/>
    <w:rsid w:val="00286CDB"/>
    <w:rsid w:val="0028793E"/>
    <w:rsid w:val="00292FDF"/>
    <w:rsid w:val="0029342F"/>
    <w:rsid w:val="00294437"/>
    <w:rsid w:val="00296A7B"/>
    <w:rsid w:val="002B3F05"/>
    <w:rsid w:val="002B5560"/>
    <w:rsid w:val="002C4DCA"/>
    <w:rsid w:val="002C64DF"/>
    <w:rsid w:val="002C6F02"/>
    <w:rsid w:val="002C7B33"/>
    <w:rsid w:val="002D1BBF"/>
    <w:rsid w:val="002D24F4"/>
    <w:rsid w:val="002D28B5"/>
    <w:rsid w:val="002D7452"/>
    <w:rsid w:val="002D7E4A"/>
    <w:rsid w:val="002E067F"/>
    <w:rsid w:val="002E4DAA"/>
    <w:rsid w:val="002F30A5"/>
    <w:rsid w:val="002F32EC"/>
    <w:rsid w:val="002F7792"/>
    <w:rsid w:val="00304691"/>
    <w:rsid w:val="00305C20"/>
    <w:rsid w:val="00306D1C"/>
    <w:rsid w:val="003148F8"/>
    <w:rsid w:val="00317A1C"/>
    <w:rsid w:val="00322956"/>
    <w:rsid w:val="00322A2A"/>
    <w:rsid w:val="003248CA"/>
    <w:rsid w:val="003326D0"/>
    <w:rsid w:val="00333EF0"/>
    <w:rsid w:val="00335235"/>
    <w:rsid w:val="003403BB"/>
    <w:rsid w:val="0034348F"/>
    <w:rsid w:val="00343DB7"/>
    <w:rsid w:val="003445D0"/>
    <w:rsid w:val="003445D2"/>
    <w:rsid w:val="00347E5F"/>
    <w:rsid w:val="003510F9"/>
    <w:rsid w:val="003627EB"/>
    <w:rsid w:val="003653BA"/>
    <w:rsid w:val="003708EB"/>
    <w:rsid w:val="00370A77"/>
    <w:rsid w:val="0037109A"/>
    <w:rsid w:val="003720A7"/>
    <w:rsid w:val="00372CA7"/>
    <w:rsid w:val="00376804"/>
    <w:rsid w:val="00377D47"/>
    <w:rsid w:val="00380DF5"/>
    <w:rsid w:val="003905F6"/>
    <w:rsid w:val="00391CC7"/>
    <w:rsid w:val="00391E03"/>
    <w:rsid w:val="0039237D"/>
    <w:rsid w:val="0039324A"/>
    <w:rsid w:val="003A02A2"/>
    <w:rsid w:val="003A1B7F"/>
    <w:rsid w:val="003A2DB5"/>
    <w:rsid w:val="003A4BB9"/>
    <w:rsid w:val="003A563D"/>
    <w:rsid w:val="003A56AB"/>
    <w:rsid w:val="003A7412"/>
    <w:rsid w:val="003A788F"/>
    <w:rsid w:val="003B04F9"/>
    <w:rsid w:val="003B0CDC"/>
    <w:rsid w:val="003B0ED2"/>
    <w:rsid w:val="003B6458"/>
    <w:rsid w:val="003B70E1"/>
    <w:rsid w:val="003D024A"/>
    <w:rsid w:val="003D042A"/>
    <w:rsid w:val="003D09B2"/>
    <w:rsid w:val="003D0BE7"/>
    <w:rsid w:val="003E0064"/>
    <w:rsid w:val="003E4D60"/>
    <w:rsid w:val="003E5746"/>
    <w:rsid w:val="003F5E5A"/>
    <w:rsid w:val="003F71B3"/>
    <w:rsid w:val="003F7C3D"/>
    <w:rsid w:val="00400973"/>
    <w:rsid w:val="004033E9"/>
    <w:rsid w:val="00403FB8"/>
    <w:rsid w:val="00406955"/>
    <w:rsid w:val="00411E25"/>
    <w:rsid w:val="00413427"/>
    <w:rsid w:val="00414535"/>
    <w:rsid w:val="00414C18"/>
    <w:rsid w:val="00414CFE"/>
    <w:rsid w:val="004166D2"/>
    <w:rsid w:val="00416857"/>
    <w:rsid w:val="00417525"/>
    <w:rsid w:val="0042458F"/>
    <w:rsid w:val="00424DB4"/>
    <w:rsid w:val="004272F5"/>
    <w:rsid w:val="00430B3C"/>
    <w:rsid w:val="00430D10"/>
    <w:rsid w:val="0043153A"/>
    <w:rsid w:val="00434A91"/>
    <w:rsid w:val="00442AD1"/>
    <w:rsid w:val="00444ABD"/>
    <w:rsid w:val="00445BF1"/>
    <w:rsid w:val="004475A2"/>
    <w:rsid w:val="00447938"/>
    <w:rsid w:val="00450352"/>
    <w:rsid w:val="00450F5E"/>
    <w:rsid w:val="0045360A"/>
    <w:rsid w:val="00455530"/>
    <w:rsid w:val="00455DBF"/>
    <w:rsid w:val="00456E77"/>
    <w:rsid w:val="004600D1"/>
    <w:rsid w:val="004616D1"/>
    <w:rsid w:val="00461821"/>
    <w:rsid w:val="004653A6"/>
    <w:rsid w:val="00466B8A"/>
    <w:rsid w:val="00472368"/>
    <w:rsid w:val="0047746D"/>
    <w:rsid w:val="0048132E"/>
    <w:rsid w:val="004813E6"/>
    <w:rsid w:val="004837E3"/>
    <w:rsid w:val="00484184"/>
    <w:rsid w:val="004846EB"/>
    <w:rsid w:val="00485522"/>
    <w:rsid w:val="00486975"/>
    <w:rsid w:val="004911A1"/>
    <w:rsid w:val="00495C9A"/>
    <w:rsid w:val="004A0D70"/>
    <w:rsid w:val="004A1130"/>
    <w:rsid w:val="004A40F7"/>
    <w:rsid w:val="004B11C0"/>
    <w:rsid w:val="004B2208"/>
    <w:rsid w:val="004B7F46"/>
    <w:rsid w:val="004C1FBF"/>
    <w:rsid w:val="004D3CED"/>
    <w:rsid w:val="004D5B19"/>
    <w:rsid w:val="004E0831"/>
    <w:rsid w:val="004E28CE"/>
    <w:rsid w:val="004E674A"/>
    <w:rsid w:val="004F33D2"/>
    <w:rsid w:val="004F4F11"/>
    <w:rsid w:val="004F68B8"/>
    <w:rsid w:val="00504BAA"/>
    <w:rsid w:val="005057A0"/>
    <w:rsid w:val="005102C1"/>
    <w:rsid w:val="00511E3E"/>
    <w:rsid w:val="00511F1C"/>
    <w:rsid w:val="00513C0E"/>
    <w:rsid w:val="005205A7"/>
    <w:rsid w:val="00522DB0"/>
    <w:rsid w:val="005352D0"/>
    <w:rsid w:val="00535493"/>
    <w:rsid w:val="005438DE"/>
    <w:rsid w:val="00543B32"/>
    <w:rsid w:val="00543C7B"/>
    <w:rsid w:val="00544BE1"/>
    <w:rsid w:val="00544FEB"/>
    <w:rsid w:val="005460B1"/>
    <w:rsid w:val="00547289"/>
    <w:rsid w:val="005476CA"/>
    <w:rsid w:val="005512DF"/>
    <w:rsid w:val="00556466"/>
    <w:rsid w:val="005570B7"/>
    <w:rsid w:val="00561C85"/>
    <w:rsid w:val="005635D9"/>
    <w:rsid w:val="0056551C"/>
    <w:rsid w:val="00572AB0"/>
    <w:rsid w:val="00576DA0"/>
    <w:rsid w:val="0057751B"/>
    <w:rsid w:val="0058096A"/>
    <w:rsid w:val="0058559D"/>
    <w:rsid w:val="00586CCA"/>
    <w:rsid w:val="005877F6"/>
    <w:rsid w:val="00597827"/>
    <w:rsid w:val="005A721D"/>
    <w:rsid w:val="005A7D74"/>
    <w:rsid w:val="005B2032"/>
    <w:rsid w:val="005B2E64"/>
    <w:rsid w:val="005B42B8"/>
    <w:rsid w:val="005B466D"/>
    <w:rsid w:val="005B5391"/>
    <w:rsid w:val="005B646D"/>
    <w:rsid w:val="005B795F"/>
    <w:rsid w:val="005C3F7A"/>
    <w:rsid w:val="005C4AB8"/>
    <w:rsid w:val="005C5826"/>
    <w:rsid w:val="005D0BAC"/>
    <w:rsid w:val="005D5374"/>
    <w:rsid w:val="005D70CA"/>
    <w:rsid w:val="005D70F7"/>
    <w:rsid w:val="005E113C"/>
    <w:rsid w:val="005E212E"/>
    <w:rsid w:val="005E3207"/>
    <w:rsid w:val="005E56E2"/>
    <w:rsid w:val="005F06F6"/>
    <w:rsid w:val="005F15B3"/>
    <w:rsid w:val="005F1B81"/>
    <w:rsid w:val="005F1CF0"/>
    <w:rsid w:val="005F1E19"/>
    <w:rsid w:val="005F53D1"/>
    <w:rsid w:val="005F6176"/>
    <w:rsid w:val="005F7F71"/>
    <w:rsid w:val="0060036D"/>
    <w:rsid w:val="00606AE4"/>
    <w:rsid w:val="006078E9"/>
    <w:rsid w:val="00607FFC"/>
    <w:rsid w:val="0061564C"/>
    <w:rsid w:val="0061745D"/>
    <w:rsid w:val="0062159F"/>
    <w:rsid w:val="00623E2E"/>
    <w:rsid w:val="00624E12"/>
    <w:rsid w:val="00630D63"/>
    <w:rsid w:val="00637F1C"/>
    <w:rsid w:val="00640D23"/>
    <w:rsid w:val="00643D88"/>
    <w:rsid w:val="00644204"/>
    <w:rsid w:val="0064724F"/>
    <w:rsid w:val="006503C2"/>
    <w:rsid w:val="006534E3"/>
    <w:rsid w:val="00653B73"/>
    <w:rsid w:val="00653EB7"/>
    <w:rsid w:val="0065654F"/>
    <w:rsid w:val="006566B0"/>
    <w:rsid w:val="00657287"/>
    <w:rsid w:val="00660380"/>
    <w:rsid w:val="00664B2D"/>
    <w:rsid w:val="00665E7E"/>
    <w:rsid w:val="00666B0D"/>
    <w:rsid w:val="006675C9"/>
    <w:rsid w:val="0067171A"/>
    <w:rsid w:val="006743D0"/>
    <w:rsid w:val="00681693"/>
    <w:rsid w:val="006825A0"/>
    <w:rsid w:val="00682B82"/>
    <w:rsid w:val="00687139"/>
    <w:rsid w:val="006879B2"/>
    <w:rsid w:val="006939F2"/>
    <w:rsid w:val="00693EB9"/>
    <w:rsid w:val="006951FD"/>
    <w:rsid w:val="00695700"/>
    <w:rsid w:val="006A0654"/>
    <w:rsid w:val="006A3059"/>
    <w:rsid w:val="006A365A"/>
    <w:rsid w:val="006A3BD7"/>
    <w:rsid w:val="006A4ADC"/>
    <w:rsid w:val="006B31DF"/>
    <w:rsid w:val="006B43B1"/>
    <w:rsid w:val="006B5FEF"/>
    <w:rsid w:val="006C29F7"/>
    <w:rsid w:val="006C666A"/>
    <w:rsid w:val="006D29C5"/>
    <w:rsid w:val="006D5B26"/>
    <w:rsid w:val="006D5C26"/>
    <w:rsid w:val="006D7AFF"/>
    <w:rsid w:val="006E1D19"/>
    <w:rsid w:val="006E2CFE"/>
    <w:rsid w:val="006E4A92"/>
    <w:rsid w:val="006E60DE"/>
    <w:rsid w:val="006E7655"/>
    <w:rsid w:val="006E7E10"/>
    <w:rsid w:val="006F5F91"/>
    <w:rsid w:val="00704316"/>
    <w:rsid w:val="0070460E"/>
    <w:rsid w:val="00704E6D"/>
    <w:rsid w:val="00707FF8"/>
    <w:rsid w:val="0071133F"/>
    <w:rsid w:val="00712763"/>
    <w:rsid w:val="00713466"/>
    <w:rsid w:val="00722A13"/>
    <w:rsid w:val="007258F3"/>
    <w:rsid w:val="0072628A"/>
    <w:rsid w:val="00727173"/>
    <w:rsid w:val="007307E0"/>
    <w:rsid w:val="007317DB"/>
    <w:rsid w:val="007328F2"/>
    <w:rsid w:val="00733405"/>
    <w:rsid w:val="00736575"/>
    <w:rsid w:val="00740C92"/>
    <w:rsid w:val="00740C97"/>
    <w:rsid w:val="0074129F"/>
    <w:rsid w:val="00743B5A"/>
    <w:rsid w:val="00751455"/>
    <w:rsid w:val="00760D28"/>
    <w:rsid w:val="00762027"/>
    <w:rsid w:val="00763B33"/>
    <w:rsid w:val="00764C6C"/>
    <w:rsid w:val="007666BA"/>
    <w:rsid w:val="0076791A"/>
    <w:rsid w:val="00773CA9"/>
    <w:rsid w:val="00774CCB"/>
    <w:rsid w:val="00775A75"/>
    <w:rsid w:val="00776360"/>
    <w:rsid w:val="00776485"/>
    <w:rsid w:val="00776C3E"/>
    <w:rsid w:val="0078133C"/>
    <w:rsid w:val="00781420"/>
    <w:rsid w:val="007844A9"/>
    <w:rsid w:val="00791BA6"/>
    <w:rsid w:val="007923D4"/>
    <w:rsid w:val="007A69D5"/>
    <w:rsid w:val="007B1E4D"/>
    <w:rsid w:val="007B7AFD"/>
    <w:rsid w:val="007C3302"/>
    <w:rsid w:val="007C5FB3"/>
    <w:rsid w:val="007C68E0"/>
    <w:rsid w:val="007C6C12"/>
    <w:rsid w:val="007D0E3D"/>
    <w:rsid w:val="007D0F37"/>
    <w:rsid w:val="007D1C6F"/>
    <w:rsid w:val="007D78A9"/>
    <w:rsid w:val="007D7A4E"/>
    <w:rsid w:val="007E0208"/>
    <w:rsid w:val="007E22AC"/>
    <w:rsid w:val="007E351E"/>
    <w:rsid w:val="007E6342"/>
    <w:rsid w:val="007F3B02"/>
    <w:rsid w:val="007F3C17"/>
    <w:rsid w:val="008001CB"/>
    <w:rsid w:val="008002C4"/>
    <w:rsid w:val="0080165E"/>
    <w:rsid w:val="00803D8F"/>
    <w:rsid w:val="00804BA2"/>
    <w:rsid w:val="00805D3C"/>
    <w:rsid w:val="00807336"/>
    <w:rsid w:val="00810989"/>
    <w:rsid w:val="00810B38"/>
    <w:rsid w:val="00813278"/>
    <w:rsid w:val="00815D9A"/>
    <w:rsid w:val="008200AF"/>
    <w:rsid w:val="00820B14"/>
    <w:rsid w:val="00822698"/>
    <w:rsid w:val="008231A0"/>
    <w:rsid w:val="008251CE"/>
    <w:rsid w:val="00825AFB"/>
    <w:rsid w:val="008339AB"/>
    <w:rsid w:val="00835752"/>
    <w:rsid w:val="00835A3D"/>
    <w:rsid w:val="0084024A"/>
    <w:rsid w:val="00840B1F"/>
    <w:rsid w:val="008410E5"/>
    <w:rsid w:val="00842680"/>
    <w:rsid w:val="00842D4A"/>
    <w:rsid w:val="008434F2"/>
    <w:rsid w:val="008460CC"/>
    <w:rsid w:val="008478C3"/>
    <w:rsid w:val="0085199A"/>
    <w:rsid w:val="00856957"/>
    <w:rsid w:val="00860D7D"/>
    <w:rsid w:val="00862D86"/>
    <w:rsid w:val="008634CB"/>
    <w:rsid w:val="008644F4"/>
    <w:rsid w:val="00864F2C"/>
    <w:rsid w:val="00866743"/>
    <w:rsid w:val="0087261A"/>
    <w:rsid w:val="00873F67"/>
    <w:rsid w:val="00880043"/>
    <w:rsid w:val="00885E74"/>
    <w:rsid w:val="00887FC8"/>
    <w:rsid w:val="00890852"/>
    <w:rsid w:val="008908B2"/>
    <w:rsid w:val="0089187C"/>
    <w:rsid w:val="008927B7"/>
    <w:rsid w:val="00892F53"/>
    <w:rsid w:val="00896B0F"/>
    <w:rsid w:val="00896C5E"/>
    <w:rsid w:val="008A01D2"/>
    <w:rsid w:val="008B03D0"/>
    <w:rsid w:val="008B041A"/>
    <w:rsid w:val="008B3096"/>
    <w:rsid w:val="008B31D0"/>
    <w:rsid w:val="008C0C7A"/>
    <w:rsid w:val="008C2898"/>
    <w:rsid w:val="008C4807"/>
    <w:rsid w:val="008C61D2"/>
    <w:rsid w:val="008C79E4"/>
    <w:rsid w:val="008C7E05"/>
    <w:rsid w:val="008D05E9"/>
    <w:rsid w:val="008D0B5E"/>
    <w:rsid w:val="008D1744"/>
    <w:rsid w:val="008D22FA"/>
    <w:rsid w:val="008D23DB"/>
    <w:rsid w:val="008D32C4"/>
    <w:rsid w:val="008D3994"/>
    <w:rsid w:val="008D71A4"/>
    <w:rsid w:val="008D7A2A"/>
    <w:rsid w:val="008E01A4"/>
    <w:rsid w:val="008E0B3D"/>
    <w:rsid w:val="008E1624"/>
    <w:rsid w:val="008E182E"/>
    <w:rsid w:val="008E3C13"/>
    <w:rsid w:val="008E3CCC"/>
    <w:rsid w:val="008E3D2C"/>
    <w:rsid w:val="008E7729"/>
    <w:rsid w:val="008F052D"/>
    <w:rsid w:val="008F7874"/>
    <w:rsid w:val="008F7974"/>
    <w:rsid w:val="0090002F"/>
    <w:rsid w:val="009004BC"/>
    <w:rsid w:val="00901F62"/>
    <w:rsid w:val="009020FC"/>
    <w:rsid w:val="009066FA"/>
    <w:rsid w:val="0090781B"/>
    <w:rsid w:val="009112B3"/>
    <w:rsid w:val="009118B5"/>
    <w:rsid w:val="0091326F"/>
    <w:rsid w:val="00913C33"/>
    <w:rsid w:val="00915126"/>
    <w:rsid w:val="00915B49"/>
    <w:rsid w:val="00916A21"/>
    <w:rsid w:val="00920715"/>
    <w:rsid w:val="00921394"/>
    <w:rsid w:val="00921D41"/>
    <w:rsid w:val="00924DBD"/>
    <w:rsid w:val="0093035E"/>
    <w:rsid w:val="009337F0"/>
    <w:rsid w:val="009376BD"/>
    <w:rsid w:val="009376EE"/>
    <w:rsid w:val="00940F96"/>
    <w:rsid w:val="0094259F"/>
    <w:rsid w:val="00942D44"/>
    <w:rsid w:val="00951095"/>
    <w:rsid w:val="00952F5D"/>
    <w:rsid w:val="00953FF7"/>
    <w:rsid w:val="00957044"/>
    <w:rsid w:val="00962549"/>
    <w:rsid w:val="00965B9F"/>
    <w:rsid w:val="00965CB7"/>
    <w:rsid w:val="00966B70"/>
    <w:rsid w:val="00967CA6"/>
    <w:rsid w:val="00971349"/>
    <w:rsid w:val="00973036"/>
    <w:rsid w:val="009747E5"/>
    <w:rsid w:val="009769C2"/>
    <w:rsid w:val="00977B9C"/>
    <w:rsid w:val="009803FC"/>
    <w:rsid w:val="00981975"/>
    <w:rsid w:val="00981D84"/>
    <w:rsid w:val="00985617"/>
    <w:rsid w:val="00985F9A"/>
    <w:rsid w:val="009874B4"/>
    <w:rsid w:val="0098762E"/>
    <w:rsid w:val="00990044"/>
    <w:rsid w:val="00991668"/>
    <w:rsid w:val="00992CB3"/>
    <w:rsid w:val="0099341D"/>
    <w:rsid w:val="00993429"/>
    <w:rsid w:val="009944FE"/>
    <w:rsid w:val="00994A6C"/>
    <w:rsid w:val="009A318A"/>
    <w:rsid w:val="009B0654"/>
    <w:rsid w:val="009B10ED"/>
    <w:rsid w:val="009B1B64"/>
    <w:rsid w:val="009B23BE"/>
    <w:rsid w:val="009B2BFE"/>
    <w:rsid w:val="009B50C0"/>
    <w:rsid w:val="009B59E3"/>
    <w:rsid w:val="009B5B35"/>
    <w:rsid w:val="009C0092"/>
    <w:rsid w:val="009C0DD3"/>
    <w:rsid w:val="009C2BB7"/>
    <w:rsid w:val="009C7976"/>
    <w:rsid w:val="009D1991"/>
    <w:rsid w:val="009D626F"/>
    <w:rsid w:val="009E5AD4"/>
    <w:rsid w:val="009E7986"/>
    <w:rsid w:val="009E7E3E"/>
    <w:rsid w:val="009F05F8"/>
    <w:rsid w:val="009F1226"/>
    <w:rsid w:val="009F174A"/>
    <w:rsid w:val="009F2DAF"/>
    <w:rsid w:val="009F2FD7"/>
    <w:rsid w:val="009F57D9"/>
    <w:rsid w:val="009F7AD6"/>
    <w:rsid w:val="00A00CC7"/>
    <w:rsid w:val="00A01140"/>
    <w:rsid w:val="00A02DB1"/>
    <w:rsid w:val="00A078FA"/>
    <w:rsid w:val="00A10903"/>
    <w:rsid w:val="00A158BA"/>
    <w:rsid w:val="00A15BD2"/>
    <w:rsid w:val="00A17E3C"/>
    <w:rsid w:val="00A2101A"/>
    <w:rsid w:val="00A22A63"/>
    <w:rsid w:val="00A24077"/>
    <w:rsid w:val="00A24F3A"/>
    <w:rsid w:val="00A254B9"/>
    <w:rsid w:val="00A25F52"/>
    <w:rsid w:val="00A30195"/>
    <w:rsid w:val="00A316B6"/>
    <w:rsid w:val="00A32962"/>
    <w:rsid w:val="00A36885"/>
    <w:rsid w:val="00A37920"/>
    <w:rsid w:val="00A441EC"/>
    <w:rsid w:val="00A467CF"/>
    <w:rsid w:val="00A500C6"/>
    <w:rsid w:val="00A55207"/>
    <w:rsid w:val="00A57185"/>
    <w:rsid w:val="00A60850"/>
    <w:rsid w:val="00A61445"/>
    <w:rsid w:val="00A6244F"/>
    <w:rsid w:val="00A6398D"/>
    <w:rsid w:val="00A65931"/>
    <w:rsid w:val="00A66877"/>
    <w:rsid w:val="00A7054E"/>
    <w:rsid w:val="00A75581"/>
    <w:rsid w:val="00A77366"/>
    <w:rsid w:val="00A86F4A"/>
    <w:rsid w:val="00A9389F"/>
    <w:rsid w:val="00A939CC"/>
    <w:rsid w:val="00A9412A"/>
    <w:rsid w:val="00A94E81"/>
    <w:rsid w:val="00A952A6"/>
    <w:rsid w:val="00AA13FE"/>
    <w:rsid w:val="00AA4ECC"/>
    <w:rsid w:val="00AA779B"/>
    <w:rsid w:val="00AB1B06"/>
    <w:rsid w:val="00AB22B2"/>
    <w:rsid w:val="00AB2BC7"/>
    <w:rsid w:val="00AB3672"/>
    <w:rsid w:val="00AB7250"/>
    <w:rsid w:val="00AC20DA"/>
    <w:rsid w:val="00AC2573"/>
    <w:rsid w:val="00AC5C95"/>
    <w:rsid w:val="00AC7779"/>
    <w:rsid w:val="00AD0836"/>
    <w:rsid w:val="00AD2CCF"/>
    <w:rsid w:val="00AE25AD"/>
    <w:rsid w:val="00AE3272"/>
    <w:rsid w:val="00AE57E5"/>
    <w:rsid w:val="00AE65E0"/>
    <w:rsid w:val="00AE7DBA"/>
    <w:rsid w:val="00AF10DE"/>
    <w:rsid w:val="00AF1702"/>
    <w:rsid w:val="00AF406E"/>
    <w:rsid w:val="00AF549B"/>
    <w:rsid w:val="00AF69D2"/>
    <w:rsid w:val="00B03CE6"/>
    <w:rsid w:val="00B108B1"/>
    <w:rsid w:val="00B11685"/>
    <w:rsid w:val="00B13E9B"/>
    <w:rsid w:val="00B1555A"/>
    <w:rsid w:val="00B1568B"/>
    <w:rsid w:val="00B16327"/>
    <w:rsid w:val="00B165B1"/>
    <w:rsid w:val="00B17E8B"/>
    <w:rsid w:val="00B219A0"/>
    <w:rsid w:val="00B21B15"/>
    <w:rsid w:val="00B248F2"/>
    <w:rsid w:val="00B253FE"/>
    <w:rsid w:val="00B2606D"/>
    <w:rsid w:val="00B2614E"/>
    <w:rsid w:val="00B27E55"/>
    <w:rsid w:val="00B36C95"/>
    <w:rsid w:val="00B3779C"/>
    <w:rsid w:val="00B41E24"/>
    <w:rsid w:val="00B42C91"/>
    <w:rsid w:val="00B43CCD"/>
    <w:rsid w:val="00B44B0A"/>
    <w:rsid w:val="00B52131"/>
    <w:rsid w:val="00B57045"/>
    <w:rsid w:val="00B60A72"/>
    <w:rsid w:val="00B6100B"/>
    <w:rsid w:val="00B6380A"/>
    <w:rsid w:val="00B64AE7"/>
    <w:rsid w:val="00B66264"/>
    <w:rsid w:val="00B67EF6"/>
    <w:rsid w:val="00B70D15"/>
    <w:rsid w:val="00B716B4"/>
    <w:rsid w:val="00B7239C"/>
    <w:rsid w:val="00B73B25"/>
    <w:rsid w:val="00B775FC"/>
    <w:rsid w:val="00B811EC"/>
    <w:rsid w:val="00B97306"/>
    <w:rsid w:val="00BA0242"/>
    <w:rsid w:val="00BA1CD1"/>
    <w:rsid w:val="00BA4895"/>
    <w:rsid w:val="00BA65C3"/>
    <w:rsid w:val="00BB362E"/>
    <w:rsid w:val="00BB3DA5"/>
    <w:rsid w:val="00BB4FD3"/>
    <w:rsid w:val="00BB5E52"/>
    <w:rsid w:val="00BB688D"/>
    <w:rsid w:val="00BB79E6"/>
    <w:rsid w:val="00BC166D"/>
    <w:rsid w:val="00BC33CC"/>
    <w:rsid w:val="00BC6468"/>
    <w:rsid w:val="00BC67A9"/>
    <w:rsid w:val="00BC708C"/>
    <w:rsid w:val="00BC792D"/>
    <w:rsid w:val="00BC7D54"/>
    <w:rsid w:val="00BD1109"/>
    <w:rsid w:val="00BD368B"/>
    <w:rsid w:val="00BD394C"/>
    <w:rsid w:val="00BD3D9B"/>
    <w:rsid w:val="00BD4572"/>
    <w:rsid w:val="00BD4ABF"/>
    <w:rsid w:val="00BD59A9"/>
    <w:rsid w:val="00BE54B1"/>
    <w:rsid w:val="00BE5BE8"/>
    <w:rsid w:val="00BE5EA9"/>
    <w:rsid w:val="00BF38DE"/>
    <w:rsid w:val="00BF3BF3"/>
    <w:rsid w:val="00BF41A8"/>
    <w:rsid w:val="00BF4E4B"/>
    <w:rsid w:val="00BF78D9"/>
    <w:rsid w:val="00BF791F"/>
    <w:rsid w:val="00C033A1"/>
    <w:rsid w:val="00C035AC"/>
    <w:rsid w:val="00C03EEF"/>
    <w:rsid w:val="00C04359"/>
    <w:rsid w:val="00C0570F"/>
    <w:rsid w:val="00C0572E"/>
    <w:rsid w:val="00C07449"/>
    <w:rsid w:val="00C10719"/>
    <w:rsid w:val="00C111CA"/>
    <w:rsid w:val="00C12E0F"/>
    <w:rsid w:val="00C22573"/>
    <w:rsid w:val="00C22B67"/>
    <w:rsid w:val="00C26EB1"/>
    <w:rsid w:val="00C277F2"/>
    <w:rsid w:val="00C308FA"/>
    <w:rsid w:val="00C33EDE"/>
    <w:rsid w:val="00C406C1"/>
    <w:rsid w:val="00C43849"/>
    <w:rsid w:val="00C4501D"/>
    <w:rsid w:val="00C47260"/>
    <w:rsid w:val="00C51B55"/>
    <w:rsid w:val="00C54B98"/>
    <w:rsid w:val="00C553E8"/>
    <w:rsid w:val="00C55D2F"/>
    <w:rsid w:val="00C60E50"/>
    <w:rsid w:val="00C6130C"/>
    <w:rsid w:val="00C619F2"/>
    <w:rsid w:val="00C72309"/>
    <w:rsid w:val="00C75C75"/>
    <w:rsid w:val="00C80245"/>
    <w:rsid w:val="00C82028"/>
    <w:rsid w:val="00C82754"/>
    <w:rsid w:val="00C82C6A"/>
    <w:rsid w:val="00C858B7"/>
    <w:rsid w:val="00C86A7A"/>
    <w:rsid w:val="00C87CB0"/>
    <w:rsid w:val="00C92529"/>
    <w:rsid w:val="00C93A70"/>
    <w:rsid w:val="00C94AE5"/>
    <w:rsid w:val="00C95414"/>
    <w:rsid w:val="00CA3AF2"/>
    <w:rsid w:val="00CB08E4"/>
    <w:rsid w:val="00CB1FB1"/>
    <w:rsid w:val="00CB29C5"/>
    <w:rsid w:val="00CB2CE1"/>
    <w:rsid w:val="00CB3476"/>
    <w:rsid w:val="00CB4963"/>
    <w:rsid w:val="00CB49E4"/>
    <w:rsid w:val="00CC51CE"/>
    <w:rsid w:val="00CC7A6B"/>
    <w:rsid w:val="00CD39C1"/>
    <w:rsid w:val="00CE1274"/>
    <w:rsid w:val="00CE1C87"/>
    <w:rsid w:val="00CE2A7B"/>
    <w:rsid w:val="00CE3E42"/>
    <w:rsid w:val="00CE5F5E"/>
    <w:rsid w:val="00CE6957"/>
    <w:rsid w:val="00CE6DC9"/>
    <w:rsid w:val="00CE6DE8"/>
    <w:rsid w:val="00CE7ECD"/>
    <w:rsid w:val="00CF2149"/>
    <w:rsid w:val="00CF271E"/>
    <w:rsid w:val="00CF2870"/>
    <w:rsid w:val="00CF7564"/>
    <w:rsid w:val="00D0049F"/>
    <w:rsid w:val="00D0064A"/>
    <w:rsid w:val="00D00C4C"/>
    <w:rsid w:val="00D02E5E"/>
    <w:rsid w:val="00D033E0"/>
    <w:rsid w:val="00D05ACB"/>
    <w:rsid w:val="00D102B9"/>
    <w:rsid w:val="00D10BF6"/>
    <w:rsid w:val="00D10ED5"/>
    <w:rsid w:val="00D13C59"/>
    <w:rsid w:val="00D14D78"/>
    <w:rsid w:val="00D2235B"/>
    <w:rsid w:val="00D267B9"/>
    <w:rsid w:val="00D26F3D"/>
    <w:rsid w:val="00D305C0"/>
    <w:rsid w:val="00D3066C"/>
    <w:rsid w:val="00D30D0F"/>
    <w:rsid w:val="00D32681"/>
    <w:rsid w:val="00D37A9B"/>
    <w:rsid w:val="00D40A4E"/>
    <w:rsid w:val="00D4170C"/>
    <w:rsid w:val="00D41C3E"/>
    <w:rsid w:val="00D43674"/>
    <w:rsid w:val="00D43BB5"/>
    <w:rsid w:val="00D44244"/>
    <w:rsid w:val="00D45EF1"/>
    <w:rsid w:val="00D464F8"/>
    <w:rsid w:val="00D5014A"/>
    <w:rsid w:val="00D520BF"/>
    <w:rsid w:val="00D54A52"/>
    <w:rsid w:val="00D559E2"/>
    <w:rsid w:val="00D569CA"/>
    <w:rsid w:val="00D57DAF"/>
    <w:rsid w:val="00D60207"/>
    <w:rsid w:val="00D63475"/>
    <w:rsid w:val="00D63CBE"/>
    <w:rsid w:val="00D64F60"/>
    <w:rsid w:val="00D66043"/>
    <w:rsid w:val="00D66244"/>
    <w:rsid w:val="00D70565"/>
    <w:rsid w:val="00D71651"/>
    <w:rsid w:val="00D761E6"/>
    <w:rsid w:val="00D84319"/>
    <w:rsid w:val="00D85BAB"/>
    <w:rsid w:val="00D87441"/>
    <w:rsid w:val="00D903C7"/>
    <w:rsid w:val="00D91475"/>
    <w:rsid w:val="00D979B2"/>
    <w:rsid w:val="00DA007C"/>
    <w:rsid w:val="00DB5D95"/>
    <w:rsid w:val="00DB6F07"/>
    <w:rsid w:val="00DC71B4"/>
    <w:rsid w:val="00DD07FA"/>
    <w:rsid w:val="00DD0A7A"/>
    <w:rsid w:val="00DD1CB9"/>
    <w:rsid w:val="00DD1E9A"/>
    <w:rsid w:val="00DD7404"/>
    <w:rsid w:val="00DE0360"/>
    <w:rsid w:val="00DE12C0"/>
    <w:rsid w:val="00DE2A2F"/>
    <w:rsid w:val="00DE644E"/>
    <w:rsid w:val="00DF22B0"/>
    <w:rsid w:val="00DF4BE4"/>
    <w:rsid w:val="00E00BA7"/>
    <w:rsid w:val="00E01031"/>
    <w:rsid w:val="00E01EA5"/>
    <w:rsid w:val="00E0323E"/>
    <w:rsid w:val="00E04D84"/>
    <w:rsid w:val="00E063D8"/>
    <w:rsid w:val="00E11C07"/>
    <w:rsid w:val="00E11D7A"/>
    <w:rsid w:val="00E12352"/>
    <w:rsid w:val="00E13822"/>
    <w:rsid w:val="00E17C7D"/>
    <w:rsid w:val="00E22D7C"/>
    <w:rsid w:val="00E23B5C"/>
    <w:rsid w:val="00E2459B"/>
    <w:rsid w:val="00E245B8"/>
    <w:rsid w:val="00E24C14"/>
    <w:rsid w:val="00E24F21"/>
    <w:rsid w:val="00E2785D"/>
    <w:rsid w:val="00E32686"/>
    <w:rsid w:val="00E339A2"/>
    <w:rsid w:val="00E34416"/>
    <w:rsid w:val="00E34487"/>
    <w:rsid w:val="00E40A52"/>
    <w:rsid w:val="00E41C91"/>
    <w:rsid w:val="00E42E83"/>
    <w:rsid w:val="00E457F9"/>
    <w:rsid w:val="00E45CE6"/>
    <w:rsid w:val="00E4714F"/>
    <w:rsid w:val="00E474D9"/>
    <w:rsid w:val="00E50149"/>
    <w:rsid w:val="00E50BC4"/>
    <w:rsid w:val="00E50EA6"/>
    <w:rsid w:val="00E50EDA"/>
    <w:rsid w:val="00E61FF0"/>
    <w:rsid w:val="00E62F00"/>
    <w:rsid w:val="00E637DF"/>
    <w:rsid w:val="00E63A56"/>
    <w:rsid w:val="00E65E8E"/>
    <w:rsid w:val="00E66184"/>
    <w:rsid w:val="00E67DED"/>
    <w:rsid w:val="00E704A5"/>
    <w:rsid w:val="00E72569"/>
    <w:rsid w:val="00E74816"/>
    <w:rsid w:val="00E77643"/>
    <w:rsid w:val="00E834A9"/>
    <w:rsid w:val="00E84DEF"/>
    <w:rsid w:val="00E875CA"/>
    <w:rsid w:val="00E90919"/>
    <w:rsid w:val="00E9105F"/>
    <w:rsid w:val="00E96594"/>
    <w:rsid w:val="00E9717F"/>
    <w:rsid w:val="00EA15D9"/>
    <w:rsid w:val="00EA26D5"/>
    <w:rsid w:val="00EA4133"/>
    <w:rsid w:val="00EA499B"/>
    <w:rsid w:val="00EA7952"/>
    <w:rsid w:val="00EB2747"/>
    <w:rsid w:val="00EB2F48"/>
    <w:rsid w:val="00EB3A76"/>
    <w:rsid w:val="00EB4FF7"/>
    <w:rsid w:val="00EB514B"/>
    <w:rsid w:val="00EB73E2"/>
    <w:rsid w:val="00EC3492"/>
    <w:rsid w:val="00EC7717"/>
    <w:rsid w:val="00ED3B43"/>
    <w:rsid w:val="00ED410F"/>
    <w:rsid w:val="00ED5FFB"/>
    <w:rsid w:val="00ED7E43"/>
    <w:rsid w:val="00EE0652"/>
    <w:rsid w:val="00EE0FDA"/>
    <w:rsid w:val="00EE2805"/>
    <w:rsid w:val="00EE60E4"/>
    <w:rsid w:val="00EE76D6"/>
    <w:rsid w:val="00EE78AC"/>
    <w:rsid w:val="00EF17C3"/>
    <w:rsid w:val="00EF5FEA"/>
    <w:rsid w:val="00EF659C"/>
    <w:rsid w:val="00F04450"/>
    <w:rsid w:val="00F04B3A"/>
    <w:rsid w:val="00F05B5E"/>
    <w:rsid w:val="00F0697E"/>
    <w:rsid w:val="00F10D39"/>
    <w:rsid w:val="00F15BCF"/>
    <w:rsid w:val="00F22985"/>
    <w:rsid w:val="00F2376C"/>
    <w:rsid w:val="00F2399B"/>
    <w:rsid w:val="00F321E0"/>
    <w:rsid w:val="00F41F6E"/>
    <w:rsid w:val="00F45BE2"/>
    <w:rsid w:val="00F467E4"/>
    <w:rsid w:val="00F46E54"/>
    <w:rsid w:val="00F5297F"/>
    <w:rsid w:val="00F53625"/>
    <w:rsid w:val="00F558C5"/>
    <w:rsid w:val="00F60368"/>
    <w:rsid w:val="00F613F4"/>
    <w:rsid w:val="00F64ED6"/>
    <w:rsid w:val="00F702A3"/>
    <w:rsid w:val="00F703C4"/>
    <w:rsid w:val="00F70967"/>
    <w:rsid w:val="00F710D7"/>
    <w:rsid w:val="00F71E91"/>
    <w:rsid w:val="00F721A5"/>
    <w:rsid w:val="00F76203"/>
    <w:rsid w:val="00F801A4"/>
    <w:rsid w:val="00F80F6A"/>
    <w:rsid w:val="00F8586A"/>
    <w:rsid w:val="00F877C9"/>
    <w:rsid w:val="00F92009"/>
    <w:rsid w:val="00F95A1D"/>
    <w:rsid w:val="00FA059B"/>
    <w:rsid w:val="00FA0D36"/>
    <w:rsid w:val="00FA0F86"/>
    <w:rsid w:val="00FA1524"/>
    <w:rsid w:val="00FA26A2"/>
    <w:rsid w:val="00FA2F8D"/>
    <w:rsid w:val="00FA31D9"/>
    <w:rsid w:val="00FA4416"/>
    <w:rsid w:val="00FB0234"/>
    <w:rsid w:val="00FB04AA"/>
    <w:rsid w:val="00FB23AC"/>
    <w:rsid w:val="00FB6904"/>
    <w:rsid w:val="00FB723A"/>
    <w:rsid w:val="00FC09C7"/>
    <w:rsid w:val="00FC3CAA"/>
    <w:rsid w:val="00FC58BD"/>
    <w:rsid w:val="00FD0501"/>
    <w:rsid w:val="00FD25A2"/>
    <w:rsid w:val="00FE2079"/>
    <w:rsid w:val="00FE5B18"/>
    <w:rsid w:val="00FE5E69"/>
    <w:rsid w:val="00FF007C"/>
    <w:rsid w:val="00FF08F5"/>
    <w:rsid w:val="00FF0CFB"/>
    <w:rsid w:val="00FF231B"/>
    <w:rsid w:val="00FF31DF"/>
    <w:rsid w:val="00FF437B"/>
    <w:rsid w:val="00FF5724"/>
    <w:rsid w:val="00FF6FCC"/>
    <w:rsid w:val="1BFF3547"/>
    <w:rsid w:val="336B9D2A"/>
    <w:rsid w:val="3FE796AC"/>
    <w:rsid w:val="503BEC1D"/>
    <w:rsid w:val="51DE2323"/>
    <w:rsid w:val="585E43F4"/>
    <w:rsid w:val="73EFBAA4"/>
    <w:rsid w:val="7A3FD541"/>
    <w:rsid w:val="7B7E4AC9"/>
    <w:rsid w:val="7B7F1265"/>
    <w:rsid w:val="7BE5FC1E"/>
    <w:rsid w:val="7D775A9D"/>
    <w:rsid w:val="7EEFC722"/>
    <w:rsid w:val="831D7BF1"/>
    <w:rsid w:val="ACFE8E05"/>
    <w:rsid w:val="B6FFA2F6"/>
    <w:rsid w:val="BF3FCD47"/>
    <w:rsid w:val="BFC13EA4"/>
    <w:rsid w:val="D5F53250"/>
    <w:rsid w:val="ED66EA9F"/>
    <w:rsid w:val="F386F062"/>
    <w:rsid w:val="F573267C"/>
    <w:rsid w:val="F5D36801"/>
    <w:rsid w:val="F5FB8156"/>
    <w:rsid w:val="FB95F092"/>
    <w:rsid w:val="FBF7C4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99" w:semiHidden="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4"/>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1">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19"/>
    <w:uiPriority w:val="99"/>
    <w:pPr>
      <w:jc w:val="left"/>
    </w:pPr>
  </w:style>
  <w:style w:type="paragraph" w:styleId="5">
    <w:name w:val="Balloon Text"/>
    <w:basedOn w:val="1"/>
    <w:link w:val="16"/>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link w:val="15"/>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uiPriority w:val="99"/>
    <w:pPr>
      <w:widowControl/>
      <w:spacing w:before="100" w:beforeAutospacing="1" w:after="100" w:afterAutospacing="1"/>
      <w:jc w:val="left"/>
    </w:pPr>
    <w:rPr>
      <w:rFonts w:ascii="宋体" w:hAnsi="宋体" w:cs="宋体"/>
      <w:kern w:val="0"/>
      <w:sz w:val="24"/>
    </w:rPr>
  </w:style>
  <w:style w:type="paragraph" w:styleId="9">
    <w:name w:val="annotation subject"/>
    <w:basedOn w:val="4"/>
    <w:next w:val="4"/>
    <w:link w:val="20"/>
    <w:uiPriority w:val="0"/>
    <w:rPr>
      <w:b/>
      <w:bCs/>
    </w:rPr>
  </w:style>
  <w:style w:type="character" w:styleId="12">
    <w:name w:val="Emphasis"/>
    <w:basedOn w:val="11"/>
    <w:qFormat/>
    <w:uiPriority w:val="20"/>
    <w:rPr>
      <w:color w:val="CC0000"/>
    </w:rPr>
  </w:style>
  <w:style w:type="character" w:styleId="13">
    <w:name w:val="Hyperlink"/>
    <w:basedOn w:val="11"/>
    <w:unhideWhenUsed/>
    <w:qFormat/>
    <w:uiPriority w:val="99"/>
    <w:rPr>
      <w:color w:val="0000FF"/>
      <w:u w:val="single"/>
    </w:rPr>
  </w:style>
  <w:style w:type="character" w:styleId="14">
    <w:name w:val="annotation reference"/>
    <w:basedOn w:val="11"/>
    <w:qFormat/>
    <w:uiPriority w:val="99"/>
    <w:rPr>
      <w:sz w:val="21"/>
      <w:szCs w:val="21"/>
    </w:rPr>
  </w:style>
  <w:style w:type="character" w:customStyle="1" w:styleId="15">
    <w:name w:val="页眉 字符"/>
    <w:basedOn w:val="11"/>
    <w:link w:val="7"/>
    <w:uiPriority w:val="0"/>
    <w:rPr>
      <w:rFonts w:eastAsia="宋体"/>
      <w:kern w:val="2"/>
      <w:sz w:val="18"/>
      <w:szCs w:val="18"/>
      <w:lang w:val="en-US" w:eastAsia="zh-CN" w:bidi="ar-SA"/>
    </w:rPr>
  </w:style>
  <w:style w:type="character" w:customStyle="1" w:styleId="16">
    <w:name w:val="批注框文本 字符"/>
    <w:basedOn w:val="11"/>
    <w:link w:val="5"/>
    <w:qFormat/>
    <w:uiPriority w:val="0"/>
    <w:rPr>
      <w:kern w:val="2"/>
      <w:sz w:val="18"/>
      <w:szCs w:val="18"/>
    </w:rPr>
  </w:style>
  <w:style w:type="paragraph" w:styleId="17">
    <w:name w:val="List Paragraph"/>
    <w:basedOn w:val="1"/>
    <w:qFormat/>
    <w:uiPriority w:val="34"/>
    <w:pPr>
      <w:ind w:firstLine="420" w:firstLineChars="200"/>
    </w:pPr>
  </w:style>
  <w:style w:type="paragraph" w:customStyle="1" w:styleId="18">
    <w:name w:val="Default"/>
    <w:qFormat/>
    <w:uiPriority w:val="0"/>
    <w:pPr>
      <w:widowControl w:val="0"/>
      <w:autoSpaceDE w:val="0"/>
      <w:autoSpaceDN w:val="0"/>
      <w:adjustRightInd w:val="0"/>
    </w:pPr>
    <w:rPr>
      <w:rFonts w:ascii="新宋体" w:hAnsi="Times New Roman" w:eastAsia="新宋体" w:cs="新宋体"/>
      <w:color w:val="000000"/>
      <w:sz w:val="24"/>
      <w:szCs w:val="24"/>
      <w:lang w:val="en-US" w:eastAsia="zh-CN" w:bidi="ar-SA"/>
    </w:rPr>
  </w:style>
  <w:style w:type="character" w:customStyle="1" w:styleId="19">
    <w:name w:val="批注文字 字符"/>
    <w:basedOn w:val="11"/>
    <w:link w:val="4"/>
    <w:uiPriority w:val="99"/>
    <w:rPr>
      <w:kern w:val="2"/>
      <w:sz w:val="21"/>
      <w:szCs w:val="24"/>
    </w:rPr>
  </w:style>
  <w:style w:type="character" w:customStyle="1" w:styleId="20">
    <w:name w:val="批注主题 字符"/>
    <w:basedOn w:val="19"/>
    <w:link w:val="9"/>
    <w:qFormat/>
    <w:uiPriority w:val="0"/>
    <w:rPr>
      <w:b/>
      <w:bCs/>
      <w:kern w:val="2"/>
      <w:sz w:val="21"/>
      <w:szCs w:val="24"/>
    </w:rPr>
  </w:style>
  <w:style w:type="paragraph" w:customStyle="1" w:styleId="21">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22">
    <w:name w:val="修订2"/>
    <w:hidden/>
    <w:semiHidden/>
    <w:uiPriority w:val="99"/>
    <w:rPr>
      <w:rFonts w:ascii="Times New Roman" w:hAnsi="Times New Roman" w:eastAsia="宋体" w:cs="Times New Roman"/>
      <w:kern w:val="2"/>
      <w:sz w:val="21"/>
      <w:szCs w:val="24"/>
      <w:lang w:val="en-US" w:eastAsia="zh-CN" w:bidi="ar-SA"/>
    </w:rPr>
  </w:style>
  <w:style w:type="paragraph" w:customStyle="1" w:styleId="23">
    <w:name w:val="修订3"/>
    <w:hidden/>
    <w:semiHidden/>
    <w:uiPriority w:val="99"/>
    <w:rPr>
      <w:rFonts w:ascii="Times New Roman" w:hAnsi="Times New Roman" w:eastAsia="宋体" w:cs="Times New Roman"/>
      <w:kern w:val="2"/>
      <w:sz w:val="21"/>
      <w:szCs w:val="24"/>
      <w:lang w:val="en-US" w:eastAsia="zh-CN" w:bidi="ar-SA"/>
    </w:rPr>
  </w:style>
  <w:style w:type="character" w:customStyle="1" w:styleId="24">
    <w:name w:val="标题 3 字符"/>
    <w:basedOn w:val="11"/>
    <w:link w:val="3"/>
    <w:uiPriority w:val="9"/>
    <w:rPr>
      <w:rFonts w:ascii="宋体" w:hAnsi="宋体" w:cs="宋体"/>
      <w:b/>
      <w:bCs/>
      <w:sz w:val="27"/>
      <w:szCs w:val="27"/>
    </w:rPr>
  </w:style>
  <w:style w:type="paragraph" w:customStyle="1" w:styleId="25">
    <w:name w:val="修订4"/>
    <w:hidden/>
    <w:semiHidden/>
    <w:qFormat/>
    <w:uiPriority w:val="99"/>
    <w:rPr>
      <w:rFonts w:ascii="Times New Roman" w:hAnsi="Times New Roman" w:eastAsia="宋体" w:cs="Times New Roman"/>
      <w:kern w:val="2"/>
      <w:sz w:val="21"/>
      <w:szCs w:val="24"/>
      <w:lang w:val="en-US" w:eastAsia="zh-CN" w:bidi="ar-SA"/>
    </w:rPr>
  </w:style>
  <w:style w:type="character" w:customStyle="1" w:styleId="26">
    <w:name w:val="标题 1 字符"/>
    <w:basedOn w:val="11"/>
    <w:link w:val="2"/>
    <w:uiPriority w:val="0"/>
    <w:rPr>
      <w:rFonts w:ascii="Times New Roman" w:hAnsi="Times New Roman" w:eastAsia="宋体" w:cs="Times New Roman"/>
      <w:b/>
      <w:bCs/>
      <w:kern w:val="44"/>
      <w:sz w:val="44"/>
      <w:szCs w:val="44"/>
    </w:rPr>
  </w:style>
  <w:style w:type="character" w:customStyle="1" w:styleId="27">
    <w:name w:val="未处理的提及1"/>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1F3CA-F06E-46A5-A48F-20F5F327F7ED}">
  <ds:schemaRefs/>
</ds:datastoreItem>
</file>

<file path=docProps/app.xml><?xml version="1.0" encoding="utf-8"?>
<Properties xmlns="http://schemas.openxmlformats.org/officeDocument/2006/extended-properties" xmlns:vt="http://schemas.openxmlformats.org/officeDocument/2006/docPropsVTypes">
  <Template>Normal</Template>
  <Company>cee</Company>
  <Pages>4</Pages>
  <Words>2294</Words>
  <Characters>2440</Characters>
  <Lines>18</Lines>
  <Paragraphs>5</Paragraphs>
  <TotalTime>6</TotalTime>
  <ScaleCrop>false</ScaleCrop>
  <LinksUpToDate>false</LinksUpToDate>
  <CharactersWithSpaces>2605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2025-07-11T09:39:00Z</dcterms:created>
  <dc:creator>cee</dc:creator>
  <cp:lastModifiedBy>你若安好</cp:lastModifiedBy>
  <cp:lastPrinted>2022-06-12T05:50:00Z</cp:lastPrinted>
  <dcterms:modified xsi:type="dcterms:W3CDTF">2025-07-14T06:33:21Z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eyJoZGlkIjoiM2I0MmQ2NjZkZWQ2ZmIyZGQzOWVlODQxNzM4MzhlMWYiLCJ1c2VySWQiOiIyNTk2ODg3MTUifQ==</vt:lpwstr>
  </property>
  <property fmtid="{D5CDD505-2E9C-101B-9397-08002B2CF9AE}" pid="4" name="ICV">
    <vt:lpwstr>3A0C067677D249F2BC0B316DB726E83A_12</vt:lpwstr>
  </property>
</Properties>
</file>