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E55E9" w14:textId="77777777" w:rsidR="000C720F" w:rsidRDefault="001B60DB">
      <w:pPr>
        <w:keepNext/>
        <w:keepLines/>
        <w:spacing w:before="260" w:after="260"/>
        <w:rPr>
          <w:rFonts w:ascii="宋体" w:hAnsi="宋体" w:cs="Times New Roman"/>
          <w:b/>
          <w:bCs/>
          <w:iCs/>
          <w:sz w:val="24"/>
          <w:szCs w:val="24"/>
        </w:rPr>
      </w:pPr>
      <w:r>
        <w:rPr>
          <w:rFonts w:ascii="宋体" w:hAnsi="宋体" w:cs="Times New Roman" w:hint="eastAsia"/>
          <w:b/>
          <w:bCs/>
          <w:iCs/>
          <w:sz w:val="24"/>
          <w:szCs w:val="24"/>
        </w:rPr>
        <w:t>证券代码：</w:t>
      </w:r>
      <w:r>
        <w:rPr>
          <w:rFonts w:ascii="宋体" w:hAnsi="宋体" w:cs="Times New Roman"/>
          <w:b/>
          <w:bCs/>
          <w:iCs/>
          <w:sz w:val="24"/>
          <w:szCs w:val="24"/>
        </w:rPr>
        <w:t>60</w:t>
      </w:r>
      <w:r>
        <w:rPr>
          <w:rFonts w:ascii="宋体" w:hAnsi="宋体" w:cs="Times New Roman" w:hint="eastAsia"/>
          <w:b/>
          <w:bCs/>
          <w:iCs/>
          <w:sz w:val="24"/>
          <w:szCs w:val="24"/>
        </w:rPr>
        <w:t>5488</w:t>
      </w:r>
      <w:r>
        <w:rPr>
          <w:rFonts w:ascii="宋体" w:hAnsi="宋体" w:cs="Times New Roman"/>
          <w:b/>
          <w:bCs/>
          <w:iCs/>
          <w:sz w:val="24"/>
          <w:szCs w:val="24"/>
        </w:rPr>
        <w:t xml:space="preserve"> </w:t>
      </w:r>
      <w:r>
        <w:rPr>
          <w:rFonts w:ascii="宋体" w:hAnsi="宋体" w:cs="Times New Roman" w:hint="eastAsia"/>
          <w:b/>
          <w:bCs/>
          <w:iCs/>
          <w:sz w:val="24"/>
          <w:szCs w:val="24"/>
        </w:rPr>
        <w:t xml:space="preserve">                                </w:t>
      </w:r>
      <w:r>
        <w:rPr>
          <w:rFonts w:ascii="宋体" w:hAnsi="宋体" w:cs="Times New Roman" w:hint="eastAsia"/>
          <w:b/>
          <w:bCs/>
          <w:iCs/>
          <w:sz w:val="24"/>
          <w:szCs w:val="24"/>
        </w:rPr>
        <w:t>证券简称：福莱新材</w:t>
      </w:r>
    </w:p>
    <w:p w14:paraId="77829CF0" w14:textId="77777777" w:rsidR="000C720F" w:rsidRDefault="001B60DB">
      <w:pPr>
        <w:keepNext/>
        <w:keepLines/>
        <w:spacing w:before="260" w:after="260"/>
        <w:rPr>
          <w:rFonts w:ascii="宋体" w:hAnsi="宋体" w:cs="Times New Roman"/>
          <w:b/>
          <w:bCs/>
          <w:iCs/>
          <w:sz w:val="24"/>
          <w:szCs w:val="24"/>
        </w:rPr>
      </w:pPr>
      <w:r>
        <w:rPr>
          <w:rFonts w:ascii="宋体" w:hAnsi="宋体" w:cs="Times New Roman" w:hint="eastAsia"/>
          <w:b/>
          <w:bCs/>
          <w:iCs/>
          <w:sz w:val="24"/>
          <w:szCs w:val="24"/>
        </w:rPr>
        <w:t>债券代码：</w:t>
      </w:r>
      <w:r>
        <w:rPr>
          <w:rFonts w:ascii="宋体" w:hAnsi="宋体" w:cs="Times New Roman" w:hint="eastAsia"/>
          <w:b/>
          <w:bCs/>
          <w:iCs/>
          <w:sz w:val="24"/>
          <w:szCs w:val="24"/>
        </w:rPr>
        <w:t xml:space="preserve">111012                                 </w:t>
      </w:r>
      <w:r>
        <w:rPr>
          <w:rFonts w:ascii="宋体" w:hAnsi="宋体" w:cs="Times New Roman" w:hint="eastAsia"/>
          <w:b/>
          <w:bCs/>
          <w:iCs/>
          <w:sz w:val="24"/>
          <w:szCs w:val="24"/>
        </w:rPr>
        <w:t>债券简称：福新转债</w:t>
      </w:r>
    </w:p>
    <w:p w14:paraId="68CBA676" w14:textId="77777777" w:rsidR="000C720F" w:rsidRDefault="001B60DB">
      <w:pPr>
        <w:keepNext/>
        <w:keepLines/>
        <w:spacing w:beforeLines="50" w:before="156" w:afterLines="50" w:after="156" w:line="360" w:lineRule="auto"/>
        <w:jc w:val="center"/>
        <w:rPr>
          <w:rFonts w:ascii="宋体" w:hAnsi="宋体" w:cs="Times New Roman"/>
          <w:b/>
          <w:bCs/>
          <w:sz w:val="32"/>
          <w:szCs w:val="32"/>
        </w:rPr>
      </w:pPr>
      <w:r>
        <w:rPr>
          <w:rFonts w:ascii="宋体" w:hAnsi="宋体" w:cs="Times New Roman" w:hint="eastAsia"/>
          <w:b/>
          <w:bCs/>
          <w:sz w:val="32"/>
          <w:szCs w:val="32"/>
        </w:rPr>
        <w:t>浙江福莱新材料股份有限公司</w:t>
      </w:r>
    </w:p>
    <w:p w14:paraId="67BDDFB2" w14:textId="77777777" w:rsidR="000C720F" w:rsidRDefault="001B60DB">
      <w:pPr>
        <w:keepNext/>
        <w:keepLines/>
        <w:spacing w:beforeLines="50" w:before="156" w:afterLines="50" w:after="156" w:line="360" w:lineRule="auto"/>
        <w:jc w:val="center"/>
        <w:rPr>
          <w:rFonts w:ascii="宋体" w:hAnsi="宋体" w:cs="Times New Roman"/>
          <w:b/>
          <w:bCs/>
          <w:sz w:val="32"/>
          <w:szCs w:val="32"/>
        </w:rPr>
      </w:pPr>
      <w:r>
        <w:rPr>
          <w:rFonts w:ascii="宋体" w:hAnsi="宋体" w:cs="Times New Roman" w:hint="eastAsia"/>
          <w:b/>
          <w:bCs/>
          <w:sz w:val="32"/>
          <w:szCs w:val="32"/>
        </w:rPr>
        <w:t>投资者关系活动记录表</w:t>
      </w:r>
    </w:p>
    <w:p w14:paraId="7A3B9FE7" w14:textId="77777777" w:rsidR="000C720F" w:rsidRDefault="001B60DB">
      <w:pPr>
        <w:keepNext/>
        <w:keepLines/>
        <w:spacing w:before="260" w:after="260" w:line="360" w:lineRule="auto"/>
        <w:jc w:val="left"/>
        <w:outlineLvl w:val="1"/>
        <w:rPr>
          <w:rFonts w:ascii="宋体" w:hAnsi="宋体" w:cs="Times New Roman"/>
          <w:b/>
          <w:bCs/>
          <w:sz w:val="24"/>
          <w:szCs w:val="24"/>
        </w:rPr>
      </w:pPr>
      <w:r>
        <w:rPr>
          <w:rFonts w:ascii="宋体" w:hAnsi="宋体" w:cs="Times New Roman" w:hint="eastAsia"/>
          <w:b/>
          <w:bCs/>
          <w:sz w:val="24"/>
          <w:szCs w:val="24"/>
        </w:rPr>
        <w:t>编号：</w:t>
      </w:r>
      <w:r>
        <w:rPr>
          <w:rFonts w:ascii="宋体" w:hAnsi="宋体" w:cs="Times New Roman" w:hint="eastAsia"/>
          <w:b/>
          <w:bCs/>
          <w:sz w:val="24"/>
          <w:szCs w:val="24"/>
        </w:rPr>
        <w:t>2025-007</w:t>
      </w:r>
    </w:p>
    <w:tbl>
      <w:tblPr>
        <w:tblW w:w="891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5"/>
        <w:gridCol w:w="7258"/>
      </w:tblGrid>
      <w:tr w:rsidR="000C720F" w14:paraId="0BBCE8CC" w14:textId="77777777">
        <w:tc>
          <w:tcPr>
            <w:tcW w:w="1655" w:type="dxa"/>
            <w:vAlign w:val="center"/>
          </w:tcPr>
          <w:p w14:paraId="5C7264DE" w14:textId="77777777" w:rsidR="000C720F" w:rsidRDefault="001B60DB">
            <w:pPr>
              <w:spacing w:line="360" w:lineRule="auto"/>
              <w:jc w:val="left"/>
              <w:rPr>
                <w:rFonts w:ascii="宋体" w:hAnsi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/>
                <w:bCs/>
                <w:iCs/>
                <w:sz w:val="24"/>
                <w:szCs w:val="24"/>
              </w:rPr>
              <w:t>投资者关系活动类别</w:t>
            </w:r>
          </w:p>
        </w:tc>
        <w:tc>
          <w:tcPr>
            <w:tcW w:w="7258" w:type="dxa"/>
          </w:tcPr>
          <w:p w14:paraId="2B946D8B" w14:textId="77777777" w:rsidR="000C720F" w:rsidRDefault="001B60DB">
            <w:pPr>
              <w:spacing w:line="360" w:lineRule="auto"/>
              <w:rPr>
                <w:rFonts w:ascii="宋体" w:hAnsi="宋体" w:cs="Times New Roman"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特定对象调研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        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分析师会议</w:t>
            </w:r>
          </w:p>
          <w:p w14:paraId="783B3F9D" w14:textId="77777777" w:rsidR="000C720F" w:rsidRDefault="001B60DB">
            <w:pPr>
              <w:spacing w:line="360" w:lineRule="auto"/>
              <w:rPr>
                <w:rFonts w:ascii="宋体" w:hAnsi="宋体" w:cs="Times New Roman"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媒体采访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            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业绩说明会</w:t>
            </w:r>
          </w:p>
          <w:p w14:paraId="14046D3D" w14:textId="77777777" w:rsidR="000C720F" w:rsidRDefault="001B60DB">
            <w:pPr>
              <w:spacing w:line="360" w:lineRule="auto"/>
              <w:rPr>
                <w:rFonts w:ascii="宋体" w:hAnsi="宋体" w:cs="Times New Roman"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新闻发布会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          </w:t>
            </w:r>
            <w:r>
              <w:rPr>
                <w:rFonts w:ascii="宋体" w:hAnsi="宋体" w:hint="eastAsia"/>
                <w:sz w:val="24"/>
                <w:szCs w:val="24"/>
              </w:rPr>
              <w:t>■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路演活动</w:t>
            </w:r>
          </w:p>
          <w:p w14:paraId="08DF72BD" w14:textId="77777777" w:rsidR="000C720F" w:rsidRDefault="001B60DB">
            <w:pPr>
              <w:tabs>
                <w:tab w:val="left" w:pos="2690"/>
                <w:tab w:val="center" w:pos="3199"/>
              </w:tabs>
              <w:spacing w:line="360" w:lineRule="auto"/>
              <w:rPr>
                <w:rFonts w:ascii="宋体" w:hAnsi="宋体" w:cs="Times New Roman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■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现场参观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         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电话会议</w:t>
            </w:r>
          </w:p>
          <w:p w14:paraId="7F416B43" w14:textId="77777777" w:rsidR="000C720F" w:rsidRDefault="001B60DB">
            <w:pPr>
              <w:tabs>
                <w:tab w:val="center" w:pos="3199"/>
              </w:tabs>
              <w:spacing w:line="360" w:lineRule="auto"/>
              <w:rPr>
                <w:rFonts w:ascii="宋体" w:hAnsi="宋体" w:cs="Times New Roman"/>
                <w:bCs/>
                <w:iCs/>
                <w:sz w:val="24"/>
                <w:szCs w:val="24"/>
                <w:u w:val="single"/>
              </w:rPr>
            </w:pP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其他</w:t>
            </w:r>
            <w:r>
              <w:rPr>
                <w:rFonts w:ascii="宋体" w:hAnsi="宋体" w:cs="Times New Roman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cs="Times New Roman" w:hint="eastAsia"/>
                <w:sz w:val="24"/>
                <w:szCs w:val="24"/>
                <w:u w:val="single"/>
              </w:rPr>
              <w:t xml:space="preserve"> </w:t>
            </w:r>
          </w:p>
        </w:tc>
      </w:tr>
      <w:tr w:rsidR="000C720F" w14:paraId="762EAB2D" w14:textId="77777777">
        <w:trPr>
          <w:trHeight w:val="1024"/>
        </w:trPr>
        <w:tc>
          <w:tcPr>
            <w:tcW w:w="1655" w:type="dxa"/>
            <w:vAlign w:val="center"/>
          </w:tcPr>
          <w:p w14:paraId="693B8C89" w14:textId="77777777" w:rsidR="000C720F" w:rsidRDefault="001B60DB">
            <w:pPr>
              <w:pStyle w:val="ad"/>
              <w:rPr>
                <w:rFonts w:cs="Times New Roman"/>
                <w:b/>
                <w:bCs/>
                <w:iCs/>
              </w:rPr>
            </w:pPr>
            <w:r>
              <w:rPr>
                <w:rFonts w:cs="Times New Roman" w:hint="eastAsia"/>
                <w:b/>
                <w:bCs/>
                <w:iCs/>
                <w:kern w:val="2"/>
              </w:rPr>
              <w:t>参与单位名称</w:t>
            </w:r>
          </w:p>
        </w:tc>
        <w:tc>
          <w:tcPr>
            <w:tcW w:w="7258" w:type="dxa"/>
          </w:tcPr>
          <w:p w14:paraId="2C8B46FA" w14:textId="0AB09B3C" w:rsidR="000C720F" w:rsidRDefault="001B60DB">
            <w:pPr>
              <w:spacing w:line="360" w:lineRule="auto"/>
              <w:rPr>
                <w:rFonts w:ascii="宋体" w:hAnsi="宋体" w:cs="Times New Roman"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Bank of America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、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美林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(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亚太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)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有限公司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、中環資產投資有限公司、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 xml:space="preserve">First </w:t>
            </w:r>
            <w:proofErr w:type="spellStart"/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Sentier</w:t>
            </w:r>
            <w:proofErr w:type="spellEnd"/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 xml:space="preserve"> Investors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、</w:t>
            </w:r>
            <w:proofErr w:type="spellStart"/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Pantheum</w:t>
            </w:r>
            <w:proofErr w:type="spellEnd"/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 xml:space="preserve"> Partners Limited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、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Lombard Odier Asset Manageme</w:t>
            </w:r>
            <w:r>
              <w:rPr>
                <w:rFonts w:ascii="宋体" w:hAnsi="宋体" w:cs="Times New Roman"/>
                <w:bCs/>
                <w:iCs/>
                <w:sz w:val="24"/>
                <w:szCs w:val="24"/>
              </w:rPr>
              <w:t>n</w:t>
            </w: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t</w:t>
            </w:r>
          </w:p>
        </w:tc>
      </w:tr>
      <w:tr w:rsidR="000C720F" w14:paraId="61DA47FF" w14:textId="77777777">
        <w:tc>
          <w:tcPr>
            <w:tcW w:w="1655" w:type="dxa"/>
            <w:vAlign w:val="center"/>
          </w:tcPr>
          <w:p w14:paraId="7769CCB0" w14:textId="77777777" w:rsidR="000C720F" w:rsidRDefault="001B60DB">
            <w:pPr>
              <w:spacing w:line="360" w:lineRule="auto"/>
              <w:jc w:val="left"/>
              <w:rPr>
                <w:rFonts w:ascii="宋体" w:hAnsi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/>
                <w:bCs/>
                <w:iCs/>
                <w:sz w:val="24"/>
                <w:szCs w:val="24"/>
              </w:rPr>
              <w:t>时间</w:t>
            </w:r>
          </w:p>
        </w:tc>
        <w:tc>
          <w:tcPr>
            <w:tcW w:w="7258" w:type="dxa"/>
          </w:tcPr>
          <w:p w14:paraId="30DE7925" w14:textId="77777777" w:rsidR="000C720F" w:rsidRDefault="001B60DB">
            <w:pPr>
              <w:spacing w:line="360" w:lineRule="auto"/>
              <w:rPr>
                <w:rFonts w:ascii="宋体" w:hAnsi="宋体" w:cs="Times New Roman"/>
                <w:b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2025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9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22</w:t>
            </w:r>
            <w:r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0C720F" w14:paraId="7A94CD87" w14:textId="77777777">
        <w:tc>
          <w:tcPr>
            <w:tcW w:w="1655" w:type="dxa"/>
            <w:vAlign w:val="center"/>
          </w:tcPr>
          <w:p w14:paraId="0E08ED63" w14:textId="77777777" w:rsidR="000C720F" w:rsidRDefault="001B60DB">
            <w:pPr>
              <w:spacing w:line="360" w:lineRule="auto"/>
              <w:jc w:val="left"/>
              <w:rPr>
                <w:rFonts w:ascii="宋体" w:hAnsi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/>
                <w:bCs/>
                <w:iCs/>
                <w:sz w:val="24"/>
                <w:szCs w:val="24"/>
              </w:rPr>
              <w:t>地点</w:t>
            </w:r>
          </w:p>
        </w:tc>
        <w:tc>
          <w:tcPr>
            <w:tcW w:w="7258" w:type="dxa"/>
          </w:tcPr>
          <w:p w14:paraId="0787AA16" w14:textId="77777777" w:rsidR="000C720F" w:rsidRDefault="001B60DB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公司会议室</w:t>
            </w:r>
          </w:p>
        </w:tc>
      </w:tr>
      <w:tr w:rsidR="000C720F" w14:paraId="701DF0FB" w14:textId="77777777">
        <w:trPr>
          <w:trHeight w:val="429"/>
        </w:trPr>
        <w:tc>
          <w:tcPr>
            <w:tcW w:w="1655" w:type="dxa"/>
            <w:vAlign w:val="center"/>
          </w:tcPr>
          <w:p w14:paraId="399DB572" w14:textId="77777777" w:rsidR="000C720F" w:rsidRDefault="001B60DB">
            <w:pPr>
              <w:spacing w:line="360" w:lineRule="auto"/>
              <w:jc w:val="left"/>
              <w:rPr>
                <w:rFonts w:ascii="宋体" w:hAnsi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7258" w:type="dxa"/>
            <w:vAlign w:val="center"/>
          </w:tcPr>
          <w:p w14:paraId="1EC11183" w14:textId="77777777" w:rsidR="000C720F" w:rsidRDefault="001B60DB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 w:hint="eastAsia"/>
                <w:sz w:val="24"/>
                <w:szCs w:val="24"/>
                <w:shd w:val="clear" w:color="auto" w:fill="FFFFFF"/>
              </w:rPr>
              <w:t>董事会秘书：毕立林</w:t>
            </w:r>
            <w:r>
              <w:rPr>
                <w:rFonts w:ascii="Arial" w:hAnsi="Arial" w:cs="Arial" w:hint="eastAsia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1A5954FB" w14:textId="77777777" w:rsidR="000C720F" w:rsidRDefault="001B60DB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sz w:val="24"/>
                <w:szCs w:val="24"/>
                <w:shd w:val="clear" w:color="auto" w:fill="FFFFFF"/>
              </w:rPr>
              <w:t>证券事务代表：叶婷婷</w:t>
            </w:r>
          </w:p>
        </w:tc>
      </w:tr>
      <w:tr w:rsidR="000C720F" w14:paraId="1C7B20FC" w14:textId="77777777">
        <w:trPr>
          <w:trHeight w:val="1408"/>
        </w:trPr>
        <w:tc>
          <w:tcPr>
            <w:tcW w:w="1655" w:type="dxa"/>
            <w:vAlign w:val="center"/>
          </w:tcPr>
          <w:p w14:paraId="47B2B82E" w14:textId="77777777" w:rsidR="000C720F" w:rsidRDefault="001B60DB">
            <w:pPr>
              <w:spacing w:line="360" w:lineRule="auto"/>
              <w:jc w:val="left"/>
              <w:rPr>
                <w:rFonts w:ascii="宋体" w:hAnsi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</w:tc>
        <w:tc>
          <w:tcPr>
            <w:tcW w:w="7258" w:type="dxa"/>
          </w:tcPr>
          <w:p w14:paraId="426BB052" w14:textId="77777777" w:rsidR="000C720F" w:rsidRDefault="001B60DB">
            <w:pPr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int="eastAsia"/>
                <w:b/>
                <w:bCs/>
                <w:sz w:val="24"/>
                <w:szCs w:val="24"/>
              </w:rPr>
              <w:t>一、公司的主营业务的介绍</w:t>
            </w:r>
          </w:p>
          <w:p w14:paraId="35D4A7E0" w14:textId="77777777" w:rsidR="000C720F" w:rsidRDefault="001B60DB">
            <w:pPr>
              <w:spacing w:line="360" w:lineRule="auto"/>
              <w:ind w:firstLineChars="200"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福莱新材是一家专业从事功能性涂布复合材料研发、生产与销售的国家级高新技术企业，上交所主板上市企业，国家级专精特新“小巨人”企业。公司为广告喷墨打印材料和标签标识印刷材料的龙头企业，并通过烟台富利、上海碳欣完成上下游产业链一体化的协同布局。重点投入电子级功能材料、家居装饰、环保包装三大新兴事业部，不断研发拓展产品矩阵，丰富产品品类。</w:t>
            </w:r>
            <w:r>
              <w:rPr>
                <w:rFonts w:ascii="宋体" w:hint="eastAsia"/>
                <w:sz w:val="24"/>
                <w:szCs w:val="24"/>
              </w:rPr>
              <w:t>2025</w:t>
            </w:r>
            <w:r>
              <w:rPr>
                <w:rFonts w:ascii="宋体" w:hint="eastAsia"/>
                <w:sz w:val="24"/>
                <w:szCs w:val="24"/>
              </w:rPr>
              <w:t>年上半年，实现了营收</w:t>
            </w:r>
            <w:r>
              <w:rPr>
                <w:rFonts w:ascii="宋体" w:hint="eastAsia"/>
                <w:sz w:val="24"/>
                <w:szCs w:val="24"/>
              </w:rPr>
              <w:t>13.34</w:t>
            </w:r>
            <w:r>
              <w:rPr>
                <w:rFonts w:ascii="宋体" w:hint="eastAsia"/>
                <w:sz w:val="24"/>
                <w:szCs w:val="24"/>
              </w:rPr>
              <w:t>亿元，同比增长</w:t>
            </w:r>
            <w:r>
              <w:rPr>
                <w:rFonts w:ascii="宋体" w:hint="eastAsia"/>
                <w:sz w:val="24"/>
                <w:szCs w:val="24"/>
              </w:rPr>
              <w:t>15.40%</w:t>
            </w:r>
            <w:r>
              <w:rPr>
                <w:rFonts w:ascii="宋体" w:hint="eastAsia"/>
                <w:sz w:val="24"/>
                <w:szCs w:val="24"/>
              </w:rPr>
              <w:t>。</w:t>
            </w:r>
          </w:p>
          <w:p w14:paraId="6D2D5FCB" w14:textId="77777777" w:rsidR="000C720F" w:rsidRDefault="001B60DB">
            <w:pPr>
              <w:spacing w:line="360" w:lineRule="auto"/>
              <w:ind w:firstLineChars="200"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柔性传感器及触觉感知系统是公司未来业务的第二增长曲线，</w:t>
            </w:r>
            <w:r>
              <w:rPr>
                <w:rFonts w:ascii="宋体" w:hint="eastAsia"/>
                <w:sz w:val="24"/>
                <w:szCs w:val="24"/>
              </w:rPr>
              <w:lastRenderedPageBreak/>
              <w:t>基于公司在材料领域的深厚积淀，</w:t>
            </w:r>
            <w:r>
              <w:rPr>
                <w:rFonts w:ascii="宋体" w:hint="eastAsia"/>
                <w:sz w:val="24"/>
                <w:szCs w:val="24"/>
              </w:rPr>
              <w:t>2017</w:t>
            </w:r>
            <w:r>
              <w:rPr>
                <w:rFonts w:ascii="宋体" w:hint="eastAsia"/>
                <w:sz w:val="24"/>
                <w:szCs w:val="24"/>
              </w:rPr>
              <w:t>年开始投入这一领域，</w:t>
            </w:r>
            <w:r>
              <w:rPr>
                <w:rFonts w:ascii="宋体" w:hint="eastAsia"/>
                <w:sz w:val="24"/>
                <w:szCs w:val="24"/>
              </w:rPr>
              <w:t>2023</w:t>
            </w:r>
            <w:r>
              <w:rPr>
                <w:rFonts w:ascii="宋体" w:hint="eastAsia"/>
                <w:sz w:val="24"/>
                <w:szCs w:val="24"/>
              </w:rPr>
              <w:t>年正式纳入公司战略发展方向，并从健康监测领域应用拓展到机器人触觉和工业检测领域。</w:t>
            </w:r>
          </w:p>
          <w:p w14:paraId="44C5431A" w14:textId="77777777" w:rsidR="000C720F" w:rsidRDefault="001B60DB">
            <w:pPr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int="eastAsia"/>
                <w:b/>
                <w:bCs/>
                <w:sz w:val="24"/>
                <w:szCs w:val="24"/>
              </w:rPr>
              <w:t>二、主要问答</w:t>
            </w:r>
          </w:p>
          <w:p w14:paraId="2E50A53D" w14:textId="77777777" w:rsidR="000C720F" w:rsidRDefault="001B60DB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问题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：</w:t>
            </w:r>
            <w:r>
              <w:rPr>
                <w:rFonts w:ascii="宋体" w:hint="eastAsia"/>
                <w:b/>
                <w:bCs/>
                <w:sz w:val="24"/>
                <w:szCs w:val="24"/>
              </w:rPr>
              <w:t>用于机器人的电子皮肤二代产品相较于一代产品的区别是什么？</w:t>
            </w:r>
          </w:p>
          <w:p w14:paraId="66DFD78B" w14:textId="77777777" w:rsidR="000C720F" w:rsidRDefault="001B60DB">
            <w:pPr>
              <w:spacing w:line="36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答：公司的第二代柔性触觉传感器具备三大核心技术：真柔性、全曲面、三维力。硬件方面：采用真柔性设计，材料具备优异的柔韧性，能够完美贴合各种复杂曲面；能够实现“全曲面”覆盖，在机器人灵巧手上可完整部署于指尖、指腹、手心、手背等关键区域，达成全域触觉感知；能够实现“三维力”矢量感知，精准捕捉和解析多方向的作用力，包括垂直力和剪切力等，感知力的大小和方向信息。算法方面：采用深度学习触觉识别</w:t>
            </w:r>
            <w:r>
              <w:rPr>
                <w:rFonts w:ascii="宋体" w:hAnsi="宋体" w:hint="eastAsia"/>
                <w:sz w:val="24"/>
                <w:szCs w:val="24"/>
              </w:rPr>
              <w:t>,</w:t>
            </w:r>
            <w:r>
              <w:rPr>
                <w:rFonts w:ascii="宋体" w:hAnsi="宋体" w:hint="eastAsia"/>
                <w:sz w:val="24"/>
                <w:szCs w:val="24"/>
              </w:rPr>
              <w:t>融合多模态感知数据，实现高维特征实时提取、准确识别物体属性，测量精度、测量分辨力、空间分辨率等技术参数测试优异。</w:t>
            </w:r>
          </w:p>
          <w:p w14:paraId="30E832FC" w14:textId="77777777" w:rsidR="000C720F" w:rsidRDefault="000C720F">
            <w:pPr>
              <w:spacing w:line="360" w:lineRule="auto"/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14:paraId="58377829" w14:textId="77777777" w:rsidR="000C720F" w:rsidRDefault="001B60DB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ascii="宋体" w:hint="eastAsia"/>
                <w:b/>
                <w:bCs/>
                <w:sz w:val="24"/>
                <w:szCs w:val="24"/>
              </w:rPr>
              <w:t>问题</w:t>
            </w:r>
            <w:r>
              <w:rPr>
                <w:rFonts w:ascii="宋体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宋体" w:hint="eastAsia"/>
                <w:b/>
                <w:bCs/>
                <w:sz w:val="24"/>
                <w:szCs w:val="24"/>
              </w:rPr>
              <w:t>：目</w:t>
            </w:r>
            <w:r>
              <w:rPr>
                <w:rFonts w:ascii="宋体" w:hint="eastAsia"/>
                <w:b/>
                <w:bCs/>
                <w:sz w:val="24"/>
                <w:szCs w:val="24"/>
              </w:rPr>
              <w:t>前的技术路线主要有哪些？公司选择压阻的原因是什么？</w:t>
            </w:r>
          </w:p>
          <w:p w14:paraId="77216BF4" w14:textId="77777777" w:rsidR="000C720F" w:rsidRDefault="001B60DB">
            <w:pPr>
              <w:spacing w:line="360" w:lineRule="auto"/>
              <w:ind w:firstLineChars="200"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答：柔性传感器，特别是在机器人触觉方面，主要的技术路径有</w:t>
            </w:r>
            <w:r>
              <w:rPr>
                <w:rFonts w:ascii="宋体" w:hint="eastAsia"/>
                <w:sz w:val="24"/>
                <w:szCs w:val="24"/>
              </w:rPr>
              <w:t>5</w:t>
            </w:r>
            <w:r>
              <w:rPr>
                <w:rFonts w:ascii="宋体" w:hint="eastAsia"/>
                <w:sz w:val="24"/>
                <w:szCs w:val="24"/>
              </w:rPr>
              <w:t>种：压阻式、电容式、压电式、光学（视触觉）、霍尔效应。每种路径的选择和采用都有其特定的优点和缺点，公司储备技术丰富。福莱新材选择的是压阻式的技术，原因主要有：量程和频率响应广、制备工艺具有可放大性、数据采集电路相对简单、信号抗干扰能力强、长期工作的稳定性高。从产业化落地角度来看，压阻式传感器的制备工艺方式，适合大规模生产，成本更具有性价比。</w:t>
            </w:r>
          </w:p>
          <w:p w14:paraId="1A7F9339" w14:textId="77777777" w:rsidR="000C720F" w:rsidRDefault="000C720F">
            <w:pPr>
              <w:spacing w:line="360" w:lineRule="auto"/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14:paraId="6C02BC18" w14:textId="77777777" w:rsidR="000C720F" w:rsidRDefault="001B60DB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ascii="宋体" w:hint="eastAsia"/>
                <w:b/>
                <w:bCs/>
                <w:sz w:val="24"/>
                <w:szCs w:val="24"/>
              </w:rPr>
              <w:t>问题</w:t>
            </w:r>
            <w:r>
              <w:rPr>
                <w:rFonts w:ascii="宋体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宋体" w:hint="eastAsia"/>
                <w:b/>
                <w:bCs/>
                <w:sz w:val="24"/>
                <w:szCs w:val="24"/>
              </w:rPr>
              <w:t>：请问公司在北美的客户进展情况，有没有了解到他们现</w:t>
            </w:r>
            <w:r>
              <w:rPr>
                <w:rFonts w:ascii="宋体" w:hint="eastAsia"/>
                <w:b/>
                <w:bCs/>
                <w:sz w:val="24"/>
                <w:szCs w:val="24"/>
              </w:rPr>
              <w:t>在就对于技术这一块的要求是怎么样的？</w:t>
            </w:r>
          </w:p>
          <w:p w14:paraId="7BA81B46" w14:textId="77777777" w:rsidR="000C720F" w:rsidRDefault="001B60DB">
            <w:pPr>
              <w:spacing w:line="360" w:lineRule="auto"/>
              <w:ind w:firstLineChars="200"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答：公司的柔性传感器相关产品技术迭代在持续更新中，技术上已有多项新突破，公司已与国内外多家灵巧手公司以及人形机器人</w:t>
            </w:r>
            <w:r>
              <w:rPr>
                <w:rFonts w:ascii="宋体" w:hint="eastAsia"/>
                <w:sz w:val="24"/>
                <w:szCs w:val="24"/>
              </w:rPr>
              <w:lastRenderedPageBreak/>
              <w:t>公司合作，国外客户产品技术要求更高，更重视算法，公司密切跟踪应用领域技术迭代及发展趋势，稳步推进业务发展。</w:t>
            </w:r>
          </w:p>
          <w:p w14:paraId="375C03E9" w14:textId="77777777" w:rsidR="000C720F" w:rsidRDefault="000C720F">
            <w:pPr>
              <w:spacing w:line="360" w:lineRule="auto"/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14:paraId="665E3B40" w14:textId="77777777" w:rsidR="000C720F" w:rsidRDefault="001B60DB">
            <w:pPr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int="eastAsia"/>
                <w:b/>
                <w:bCs/>
                <w:sz w:val="24"/>
                <w:szCs w:val="24"/>
              </w:rPr>
              <w:t>问题</w:t>
            </w:r>
            <w:r>
              <w:rPr>
                <w:rFonts w:ascii="宋体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宋体" w:hint="eastAsia"/>
                <w:b/>
                <w:bCs/>
                <w:sz w:val="24"/>
                <w:szCs w:val="24"/>
              </w:rPr>
              <w:t>：有看到公司在北美成立子公司，未来规划是什么？</w:t>
            </w:r>
          </w:p>
          <w:p w14:paraId="333C7A45" w14:textId="77777777" w:rsidR="000C720F" w:rsidRDefault="001B60DB">
            <w:pPr>
              <w:spacing w:line="360" w:lineRule="auto"/>
              <w:ind w:firstLineChars="200"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答：公司在北美成立全资子公司</w:t>
            </w:r>
            <w:r>
              <w:rPr>
                <w:rFonts w:ascii="宋体" w:hint="eastAsia"/>
                <w:sz w:val="24"/>
                <w:szCs w:val="24"/>
              </w:rPr>
              <w:t>Apex Sensing LLC</w:t>
            </w:r>
            <w:r>
              <w:rPr>
                <w:rFonts w:ascii="宋体" w:hint="eastAsia"/>
                <w:sz w:val="24"/>
                <w:szCs w:val="24"/>
              </w:rPr>
              <w:t>是我司全球化战略的关键一步，通过建立本地化团队，能够更快速地响应北美客户需求，提供柔性传感全系列产品支持，缩短交货周期，提升售后响应效率</w:t>
            </w:r>
            <w:r>
              <w:rPr>
                <w:rFonts w:ascii="宋体" w:hint="eastAsia"/>
                <w:sz w:val="24"/>
                <w:szCs w:val="24"/>
              </w:rPr>
              <w:t>，赋能北美机器人产业实现从“演示”到“实用”的跨越，为当地合作伙伴提供更敏捷的供应链支持与定制化解决方案，推动先进触觉传感技术与本地应用场景的有效结合，共同赋能具身智能技术的规模化应用与商业化落地。</w:t>
            </w:r>
          </w:p>
          <w:p w14:paraId="48A6633E" w14:textId="77777777" w:rsidR="000C720F" w:rsidRDefault="000C720F">
            <w:pPr>
              <w:spacing w:line="360" w:lineRule="auto"/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14:paraId="21781CCC" w14:textId="77777777" w:rsidR="000C720F" w:rsidRDefault="001B60DB">
            <w:pPr>
              <w:spacing w:line="360" w:lineRule="auto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问题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：请问公司跟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客户对接的进展是什么样？是否有送样？</w:t>
            </w:r>
          </w:p>
          <w:p w14:paraId="2F232A30" w14:textId="77777777" w:rsidR="000C720F" w:rsidRDefault="001B60DB">
            <w:pPr>
              <w:spacing w:line="36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答：公司柔性传感器及触觉感知系统已在多应用领域有产品落地，与国内外多家知名机器人公司和灵巧手公司均有合作。公司聘请前</w:t>
            </w: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Syntouch</w:t>
            </w:r>
            <w:proofErr w:type="spellEnd"/>
            <w:r>
              <w:rPr>
                <w:rFonts w:ascii="宋体" w:hAnsi="宋体" w:hint="eastAsia"/>
                <w:sz w:val="24"/>
                <w:szCs w:val="24"/>
              </w:rPr>
              <w:t>公司副总裁为业务开拓负责人，成立北美商务团队，正在积极拓展商务和业务落地。</w:t>
            </w:r>
          </w:p>
        </w:tc>
      </w:tr>
      <w:tr w:rsidR="000C720F" w14:paraId="5B6A8C37" w14:textId="77777777">
        <w:tc>
          <w:tcPr>
            <w:tcW w:w="1655" w:type="dxa"/>
            <w:vAlign w:val="center"/>
          </w:tcPr>
          <w:p w14:paraId="06FBCEB8" w14:textId="77777777" w:rsidR="000C720F" w:rsidRDefault="001B60DB">
            <w:pPr>
              <w:spacing w:line="360" w:lineRule="auto"/>
              <w:jc w:val="center"/>
              <w:rPr>
                <w:rFonts w:ascii="宋体" w:hAnsi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/>
                <w:bCs/>
                <w:iCs/>
                <w:sz w:val="24"/>
                <w:szCs w:val="24"/>
              </w:rPr>
              <w:lastRenderedPageBreak/>
              <w:t>附件清单</w:t>
            </w:r>
          </w:p>
          <w:p w14:paraId="3AAD239C" w14:textId="77777777" w:rsidR="000C720F" w:rsidRDefault="001B60DB">
            <w:pPr>
              <w:spacing w:line="360" w:lineRule="auto"/>
              <w:jc w:val="center"/>
              <w:rPr>
                <w:rFonts w:ascii="宋体" w:hAnsi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/>
                <w:bCs/>
                <w:iCs/>
                <w:sz w:val="24"/>
                <w:szCs w:val="24"/>
              </w:rPr>
              <w:t>（如有）</w:t>
            </w:r>
          </w:p>
        </w:tc>
        <w:tc>
          <w:tcPr>
            <w:tcW w:w="7258" w:type="dxa"/>
          </w:tcPr>
          <w:p w14:paraId="1F3BFD21" w14:textId="77777777" w:rsidR="000C720F" w:rsidRDefault="001B60DB">
            <w:pPr>
              <w:spacing w:line="360" w:lineRule="auto"/>
              <w:rPr>
                <w:rFonts w:ascii="宋体" w:hAnsi="宋体" w:cs="Times New Roman"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Cs/>
                <w:iCs/>
                <w:sz w:val="24"/>
                <w:szCs w:val="24"/>
              </w:rPr>
              <w:t>无</w:t>
            </w:r>
          </w:p>
        </w:tc>
      </w:tr>
      <w:tr w:rsidR="000C720F" w14:paraId="07958D5C" w14:textId="77777777">
        <w:trPr>
          <w:trHeight w:val="1694"/>
        </w:trPr>
        <w:tc>
          <w:tcPr>
            <w:tcW w:w="8913" w:type="dxa"/>
            <w:gridSpan w:val="2"/>
            <w:vAlign w:val="center"/>
          </w:tcPr>
          <w:p w14:paraId="377890D0" w14:textId="77777777" w:rsidR="000C720F" w:rsidRDefault="001B60DB">
            <w:pPr>
              <w:spacing w:line="360" w:lineRule="auto"/>
              <w:jc w:val="center"/>
              <w:rPr>
                <w:rFonts w:ascii="宋体" w:hAnsi="宋体" w:cs="Times New Roman"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iCs/>
                <w:sz w:val="24"/>
                <w:szCs w:val="24"/>
              </w:rPr>
              <w:t>风险提示</w:t>
            </w:r>
          </w:p>
          <w:p w14:paraId="733335AD" w14:textId="77777777" w:rsidR="000C720F" w:rsidRDefault="001B60DB">
            <w:pPr>
              <w:spacing w:line="360" w:lineRule="auto"/>
              <w:rPr>
                <w:rFonts w:ascii="宋体" w:hAnsi="宋体" w:cs="Times New Roman"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iCs/>
                <w:sz w:val="24"/>
                <w:szCs w:val="24"/>
              </w:rPr>
              <w:t>本次调研信息中如涉及对行业的预测、公司发展战略规划等相关内容，不能视作公司或管理层对行业、公司发展或业绩的承诺和保证，敬请广大投资者注意投资风险。</w:t>
            </w:r>
          </w:p>
        </w:tc>
      </w:tr>
      <w:tr w:rsidR="000C720F" w14:paraId="7BB295D7" w14:textId="77777777">
        <w:tc>
          <w:tcPr>
            <w:tcW w:w="1655" w:type="dxa"/>
            <w:vAlign w:val="center"/>
          </w:tcPr>
          <w:p w14:paraId="219200C9" w14:textId="77777777" w:rsidR="000C720F" w:rsidRDefault="001B60DB">
            <w:pPr>
              <w:spacing w:line="360" w:lineRule="auto"/>
              <w:jc w:val="left"/>
              <w:rPr>
                <w:rFonts w:ascii="宋体" w:hAnsi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7258" w:type="dxa"/>
            <w:vAlign w:val="center"/>
          </w:tcPr>
          <w:p w14:paraId="7934DA96" w14:textId="77777777" w:rsidR="000C720F" w:rsidRDefault="001B60DB">
            <w:pPr>
              <w:spacing w:line="360" w:lineRule="auto"/>
              <w:rPr>
                <w:rFonts w:ascii="宋体" w:hAnsi="宋体" w:cs="Times New Roman"/>
                <w:i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iCs/>
                <w:sz w:val="24"/>
                <w:szCs w:val="24"/>
              </w:rPr>
              <w:t>2</w:t>
            </w:r>
            <w:r>
              <w:rPr>
                <w:rFonts w:ascii="宋体" w:hAnsi="宋体" w:cs="Times New Roman"/>
                <w:iCs/>
                <w:sz w:val="24"/>
                <w:szCs w:val="24"/>
              </w:rPr>
              <w:t>02</w:t>
            </w:r>
            <w:r>
              <w:rPr>
                <w:rFonts w:ascii="宋体" w:hAnsi="宋体" w:cs="Times New Roman" w:hint="eastAsia"/>
                <w:iCs/>
                <w:sz w:val="24"/>
                <w:szCs w:val="24"/>
              </w:rPr>
              <w:t>5</w:t>
            </w:r>
            <w:r>
              <w:rPr>
                <w:rFonts w:ascii="宋体" w:hAnsi="宋体" w:cs="Times New Roman" w:hint="eastAsia"/>
                <w:iCs/>
                <w:sz w:val="24"/>
                <w:szCs w:val="24"/>
              </w:rPr>
              <w:t>年</w:t>
            </w:r>
            <w:r>
              <w:rPr>
                <w:rFonts w:ascii="宋体" w:hAnsi="宋体" w:cs="Times New Roman" w:hint="eastAsia"/>
                <w:iCs/>
                <w:sz w:val="24"/>
                <w:szCs w:val="24"/>
              </w:rPr>
              <w:t>09</w:t>
            </w:r>
            <w:r>
              <w:rPr>
                <w:rFonts w:ascii="宋体" w:hAnsi="宋体" w:cs="Times New Roman" w:hint="eastAsia"/>
                <w:iCs/>
                <w:sz w:val="24"/>
                <w:szCs w:val="24"/>
              </w:rPr>
              <w:t>月</w:t>
            </w:r>
            <w:r>
              <w:rPr>
                <w:rFonts w:ascii="宋体" w:hAnsi="宋体" w:cs="Times New Roman" w:hint="eastAsia"/>
                <w:iCs/>
                <w:sz w:val="24"/>
                <w:szCs w:val="24"/>
              </w:rPr>
              <w:t>2</w:t>
            </w:r>
            <w:r>
              <w:rPr>
                <w:rFonts w:ascii="宋体" w:hAnsi="宋体" w:cs="Times New Roman" w:hint="eastAsia"/>
                <w:iCs/>
                <w:sz w:val="24"/>
                <w:szCs w:val="24"/>
              </w:rPr>
              <w:t>2</w:t>
            </w:r>
            <w:r>
              <w:rPr>
                <w:rFonts w:ascii="宋体" w:hAnsi="宋体" w:cs="Times New Roman" w:hint="eastAsia"/>
                <w:iCs/>
                <w:sz w:val="24"/>
                <w:szCs w:val="24"/>
              </w:rPr>
              <w:t>日</w:t>
            </w:r>
          </w:p>
        </w:tc>
      </w:tr>
    </w:tbl>
    <w:p w14:paraId="725F4AD9" w14:textId="77777777" w:rsidR="000C720F" w:rsidRDefault="000C720F">
      <w:pPr>
        <w:rPr>
          <w:rFonts w:ascii="宋体" w:hAnsi="宋体" w:cs="Times New Roman"/>
          <w:bCs/>
          <w:iCs/>
          <w:sz w:val="24"/>
          <w:szCs w:val="24"/>
        </w:rPr>
      </w:pPr>
    </w:p>
    <w:sectPr w:rsidR="000C720F">
      <w:footerReference w:type="default" r:id="rId6"/>
      <w:pgSz w:w="11906" w:h="16838"/>
      <w:pgMar w:top="1423" w:right="1797" w:bottom="1423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66E09" w14:textId="77777777" w:rsidR="00000000" w:rsidRDefault="001B60DB">
      <w:r>
        <w:separator/>
      </w:r>
    </w:p>
  </w:endnote>
  <w:endnote w:type="continuationSeparator" w:id="0">
    <w:p w14:paraId="346D981E" w14:textId="77777777" w:rsidR="00000000" w:rsidRDefault="001B6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D3684" w14:textId="77777777" w:rsidR="000C720F" w:rsidRDefault="001B60DB">
    <w:pPr>
      <w:pStyle w:val="a9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>PAGE   \* MERGEFORMAT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lang w:val="zh-CN"/>
      </w:rPr>
      <w:t>5</w:t>
    </w:r>
    <w:r>
      <w:rPr>
        <w:rFonts w:ascii="Times New Roman" w:hAnsi="Times New Roman" w:cs="Times New Roman"/>
      </w:rPr>
      <w:fldChar w:fldCharType="end"/>
    </w:r>
  </w:p>
  <w:p w14:paraId="44C14C28" w14:textId="77777777" w:rsidR="000C720F" w:rsidRDefault="000C720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0BD9F" w14:textId="77777777" w:rsidR="00000000" w:rsidRDefault="001B60DB">
      <w:r>
        <w:separator/>
      </w:r>
    </w:p>
  </w:footnote>
  <w:footnote w:type="continuationSeparator" w:id="0">
    <w:p w14:paraId="68375CF9" w14:textId="77777777" w:rsidR="00000000" w:rsidRDefault="001B60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RkMzAwMzhhZDYyNTY3OTUxNjEwODFlNjI5MjZiN2EifQ=="/>
    <w:docVar w:name="KSO_WPS_MARK_KEY" w:val="a3834838-84a0-4bf6-b69f-5593973aeb9b"/>
  </w:docVars>
  <w:rsids>
    <w:rsidRoot w:val="00B94C50"/>
    <w:rsid w:val="00003748"/>
    <w:rsid w:val="0001008A"/>
    <w:rsid w:val="00011A35"/>
    <w:rsid w:val="00012CDE"/>
    <w:rsid w:val="00036C4A"/>
    <w:rsid w:val="00041F2D"/>
    <w:rsid w:val="00042F09"/>
    <w:rsid w:val="00053FE2"/>
    <w:rsid w:val="00055095"/>
    <w:rsid w:val="000557D8"/>
    <w:rsid w:val="00066D8C"/>
    <w:rsid w:val="00070232"/>
    <w:rsid w:val="000761D3"/>
    <w:rsid w:val="00077E56"/>
    <w:rsid w:val="00081ECA"/>
    <w:rsid w:val="000876A5"/>
    <w:rsid w:val="00093543"/>
    <w:rsid w:val="00097F1A"/>
    <w:rsid w:val="000A21E9"/>
    <w:rsid w:val="000A5C1D"/>
    <w:rsid w:val="000C720F"/>
    <w:rsid w:val="000E3873"/>
    <w:rsid w:val="000F18CD"/>
    <w:rsid w:val="000F2B33"/>
    <w:rsid w:val="00110519"/>
    <w:rsid w:val="001155CE"/>
    <w:rsid w:val="001262CD"/>
    <w:rsid w:val="00133492"/>
    <w:rsid w:val="00135C30"/>
    <w:rsid w:val="0015063C"/>
    <w:rsid w:val="001650B3"/>
    <w:rsid w:val="001932D3"/>
    <w:rsid w:val="00194DD7"/>
    <w:rsid w:val="001B60DB"/>
    <w:rsid w:val="001B723D"/>
    <w:rsid w:val="001C25B7"/>
    <w:rsid w:val="001C3439"/>
    <w:rsid w:val="001D51C8"/>
    <w:rsid w:val="001E3615"/>
    <w:rsid w:val="001E785A"/>
    <w:rsid w:val="001F483F"/>
    <w:rsid w:val="00201891"/>
    <w:rsid w:val="00210EF3"/>
    <w:rsid w:val="0022572C"/>
    <w:rsid w:val="002262EF"/>
    <w:rsid w:val="00236703"/>
    <w:rsid w:val="00260367"/>
    <w:rsid w:val="00264D8F"/>
    <w:rsid w:val="002749EB"/>
    <w:rsid w:val="0029143C"/>
    <w:rsid w:val="00296348"/>
    <w:rsid w:val="002966A7"/>
    <w:rsid w:val="002967BA"/>
    <w:rsid w:val="002A304B"/>
    <w:rsid w:val="002A4005"/>
    <w:rsid w:val="002B5ADE"/>
    <w:rsid w:val="002B6F54"/>
    <w:rsid w:val="002C76A1"/>
    <w:rsid w:val="002D2021"/>
    <w:rsid w:val="002E0686"/>
    <w:rsid w:val="002E77CF"/>
    <w:rsid w:val="002F4770"/>
    <w:rsid w:val="00302406"/>
    <w:rsid w:val="00303CC6"/>
    <w:rsid w:val="00303CCD"/>
    <w:rsid w:val="0031181B"/>
    <w:rsid w:val="00313FDF"/>
    <w:rsid w:val="0031442C"/>
    <w:rsid w:val="003170A5"/>
    <w:rsid w:val="00331410"/>
    <w:rsid w:val="00342698"/>
    <w:rsid w:val="003624C5"/>
    <w:rsid w:val="00367347"/>
    <w:rsid w:val="00381804"/>
    <w:rsid w:val="003830BB"/>
    <w:rsid w:val="00391CED"/>
    <w:rsid w:val="003A2EDD"/>
    <w:rsid w:val="003A3053"/>
    <w:rsid w:val="003A4281"/>
    <w:rsid w:val="003B147C"/>
    <w:rsid w:val="003B64D5"/>
    <w:rsid w:val="003D5E84"/>
    <w:rsid w:val="003E0431"/>
    <w:rsid w:val="003F079D"/>
    <w:rsid w:val="00405713"/>
    <w:rsid w:val="00410009"/>
    <w:rsid w:val="00444385"/>
    <w:rsid w:val="00450E98"/>
    <w:rsid w:val="00470A66"/>
    <w:rsid w:val="00471EF8"/>
    <w:rsid w:val="004872DA"/>
    <w:rsid w:val="00491709"/>
    <w:rsid w:val="00495CD1"/>
    <w:rsid w:val="004B2FE2"/>
    <w:rsid w:val="004B7BB2"/>
    <w:rsid w:val="004E066D"/>
    <w:rsid w:val="00513934"/>
    <w:rsid w:val="005232AF"/>
    <w:rsid w:val="00531F67"/>
    <w:rsid w:val="00536D2D"/>
    <w:rsid w:val="00550E69"/>
    <w:rsid w:val="00552152"/>
    <w:rsid w:val="00570D0D"/>
    <w:rsid w:val="00581C72"/>
    <w:rsid w:val="005A058C"/>
    <w:rsid w:val="005A1A68"/>
    <w:rsid w:val="005A6F19"/>
    <w:rsid w:val="005B485C"/>
    <w:rsid w:val="005B7E57"/>
    <w:rsid w:val="005D0BFA"/>
    <w:rsid w:val="005E0EAD"/>
    <w:rsid w:val="005E1EC7"/>
    <w:rsid w:val="005E5E91"/>
    <w:rsid w:val="005F234C"/>
    <w:rsid w:val="00603FAB"/>
    <w:rsid w:val="00623FB8"/>
    <w:rsid w:val="006250F6"/>
    <w:rsid w:val="00627306"/>
    <w:rsid w:val="00631E88"/>
    <w:rsid w:val="006552AA"/>
    <w:rsid w:val="00674A3B"/>
    <w:rsid w:val="00683F46"/>
    <w:rsid w:val="00691EAA"/>
    <w:rsid w:val="006A2648"/>
    <w:rsid w:val="006D1272"/>
    <w:rsid w:val="00707369"/>
    <w:rsid w:val="007331A8"/>
    <w:rsid w:val="007351A7"/>
    <w:rsid w:val="00740827"/>
    <w:rsid w:val="0074154F"/>
    <w:rsid w:val="00760CB3"/>
    <w:rsid w:val="0076184D"/>
    <w:rsid w:val="0079774C"/>
    <w:rsid w:val="00797DF6"/>
    <w:rsid w:val="007A24B2"/>
    <w:rsid w:val="007A46C4"/>
    <w:rsid w:val="007A6470"/>
    <w:rsid w:val="007C1647"/>
    <w:rsid w:val="007C1AF9"/>
    <w:rsid w:val="007C29A9"/>
    <w:rsid w:val="007D38C7"/>
    <w:rsid w:val="007E2F10"/>
    <w:rsid w:val="007F4F77"/>
    <w:rsid w:val="00810A63"/>
    <w:rsid w:val="00821EF1"/>
    <w:rsid w:val="00823548"/>
    <w:rsid w:val="008422C6"/>
    <w:rsid w:val="00863CF2"/>
    <w:rsid w:val="00864348"/>
    <w:rsid w:val="008714C9"/>
    <w:rsid w:val="00882563"/>
    <w:rsid w:val="00883806"/>
    <w:rsid w:val="0089482B"/>
    <w:rsid w:val="008D46FC"/>
    <w:rsid w:val="008D4D59"/>
    <w:rsid w:val="008D54A7"/>
    <w:rsid w:val="008D57F5"/>
    <w:rsid w:val="008D65B6"/>
    <w:rsid w:val="008E10C6"/>
    <w:rsid w:val="008E1FBC"/>
    <w:rsid w:val="008E5241"/>
    <w:rsid w:val="008F7CAC"/>
    <w:rsid w:val="008F7D92"/>
    <w:rsid w:val="0090427B"/>
    <w:rsid w:val="00924B6A"/>
    <w:rsid w:val="009275E0"/>
    <w:rsid w:val="0093064C"/>
    <w:rsid w:val="00936887"/>
    <w:rsid w:val="00960FDD"/>
    <w:rsid w:val="00963DB3"/>
    <w:rsid w:val="00966EC4"/>
    <w:rsid w:val="00976C58"/>
    <w:rsid w:val="00982F95"/>
    <w:rsid w:val="0098657E"/>
    <w:rsid w:val="00991702"/>
    <w:rsid w:val="00993BBB"/>
    <w:rsid w:val="009A1AAC"/>
    <w:rsid w:val="009A5909"/>
    <w:rsid w:val="009C3C32"/>
    <w:rsid w:val="009E4C7E"/>
    <w:rsid w:val="009F1591"/>
    <w:rsid w:val="009F2F1E"/>
    <w:rsid w:val="00A02EED"/>
    <w:rsid w:val="00A174A3"/>
    <w:rsid w:val="00A3359D"/>
    <w:rsid w:val="00A4039C"/>
    <w:rsid w:val="00A40990"/>
    <w:rsid w:val="00A60456"/>
    <w:rsid w:val="00A647D6"/>
    <w:rsid w:val="00A71746"/>
    <w:rsid w:val="00A72139"/>
    <w:rsid w:val="00A72F96"/>
    <w:rsid w:val="00A73927"/>
    <w:rsid w:val="00A73BC9"/>
    <w:rsid w:val="00A759E6"/>
    <w:rsid w:val="00A83E12"/>
    <w:rsid w:val="00A9065C"/>
    <w:rsid w:val="00A9202F"/>
    <w:rsid w:val="00A9477C"/>
    <w:rsid w:val="00A97D40"/>
    <w:rsid w:val="00AA3AE9"/>
    <w:rsid w:val="00AA471B"/>
    <w:rsid w:val="00AA5FDC"/>
    <w:rsid w:val="00AC284C"/>
    <w:rsid w:val="00AE58C7"/>
    <w:rsid w:val="00B17990"/>
    <w:rsid w:val="00B42E27"/>
    <w:rsid w:val="00B607A5"/>
    <w:rsid w:val="00B61626"/>
    <w:rsid w:val="00B65A08"/>
    <w:rsid w:val="00B73F72"/>
    <w:rsid w:val="00B94C50"/>
    <w:rsid w:val="00BB0166"/>
    <w:rsid w:val="00BB5710"/>
    <w:rsid w:val="00BB61DA"/>
    <w:rsid w:val="00BC4B0B"/>
    <w:rsid w:val="00BD3C0D"/>
    <w:rsid w:val="00BD7A3D"/>
    <w:rsid w:val="00BF3DBF"/>
    <w:rsid w:val="00C2004A"/>
    <w:rsid w:val="00C35F09"/>
    <w:rsid w:val="00C45567"/>
    <w:rsid w:val="00C46E27"/>
    <w:rsid w:val="00C50989"/>
    <w:rsid w:val="00C517FD"/>
    <w:rsid w:val="00C74AAE"/>
    <w:rsid w:val="00C8255E"/>
    <w:rsid w:val="00C9091C"/>
    <w:rsid w:val="00CA1F01"/>
    <w:rsid w:val="00CA7B61"/>
    <w:rsid w:val="00CC4AB9"/>
    <w:rsid w:val="00CD36E1"/>
    <w:rsid w:val="00CD79DA"/>
    <w:rsid w:val="00CE08DF"/>
    <w:rsid w:val="00CE55C1"/>
    <w:rsid w:val="00D161EF"/>
    <w:rsid w:val="00D31AE6"/>
    <w:rsid w:val="00D3622A"/>
    <w:rsid w:val="00D41DEE"/>
    <w:rsid w:val="00D4479B"/>
    <w:rsid w:val="00D4484D"/>
    <w:rsid w:val="00D628FD"/>
    <w:rsid w:val="00D64015"/>
    <w:rsid w:val="00D64ED9"/>
    <w:rsid w:val="00D72AAE"/>
    <w:rsid w:val="00D810B1"/>
    <w:rsid w:val="00D83847"/>
    <w:rsid w:val="00D8532D"/>
    <w:rsid w:val="00DC35D0"/>
    <w:rsid w:val="00DC6C67"/>
    <w:rsid w:val="00DE668C"/>
    <w:rsid w:val="00DE6A16"/>
    <w:rsid w:val="00E00BF7"/>
    <w:rsid w:val="00E01542"/>
    <w:rsid w:val="00E16FD5"/>
    <w:rsid w:val="00E236DD"/>
    <w:rsid w:val="00E43AE0"/>
    <w:rsid w:val="00E559A2"/>
    <w:rsid w:val="00E6169F"/>
    <w:rsid w:val="00E62792"/>
    <w:rsid w:val="00E645DF"/>
    <w:rsid w:val="00E71446"/>
    <w:rsid w:val="00EE7642"/>
    <w:rsid w:val="00EF1FD5"/>
    <w:rsid w:val="00F0408B"/>
    <w:rsid w:val="00F057E9"/>
    <w:rsid w:val="00F14C92"/>
    <w:rsid w:val="00F1676A"/>
    <w:rsid w:val="00F16DD6"/>
    <w:rsid w:val="00F24524"/>
    <w:rsid w:val="00F3509A"/>
    <w:rsid w:val="00F469EE"/>
    <w:rsid w:val="00F5164C"/>
    <w:rsid w:val="00F56FC3"/>
    <w:rsid w:val="00F614D1"/>
    <w:rsid w:val="00F838D5"/>
    <w:rsid w:val="00F9730F"/>
    <w:rsid w:val="00F97689"/>
    <w:rsid w:val="00FB523C"/>
    <w:rsid w:val="00FC7F15"/>
    <w:rsid w:val="00FD437A"/>
    <w:rsid w:val="00FE6AE3"/>
    <w:rsid w:val="01066A48"/>
    <w:rsid w:val="02117D9A"/>
    <w:rsid w:val="02527DA9"/>
    <w:rsid w:val="03F400FF"/>
    <w:rsid w:val="044D5B72"/>
    <w:rsid w:val="05613AD2"/>
    <w:rsid w:val="05E03D0C"/>
    <w:rsid w:val="0669325F"/>
    <w:rsid w:val="06E65352"/>
    <w:rsid w:val="06ED43D6"/>
    <w:rsid w:val="0A0330D1"/>
    <w:rsid w:val="0A147F4C"/>
    <w:rsid w:val="0A9E3E01"/>
    <w:rsid w:val="0D556D8D"/>
    <w:rsid w:val="0DA07645"/>
    <w:rsid w:val="0DEF71E2"/>
    <w:rsid w:val="10A41E19"/>
    <w:rsid w:val="10B97633"/>
    <w:rsid w:val="10DC5535"/>
    <w:rsid w:val="124D4798"/>
    <w:rsid w:val="12A372EC"/>
    <w:rsid w:val="13117313"/>
    <w:rsid w:val="13294F44"/>
    <w:rsid w:val="14706840"/>
    <w:rsid w:val="14944D78"/>
    <w:rsid w:val="14A70815"/>
    <w:rsid w:val="15AA7E92"/>
    <w:rsid w:val="15B825AF"/>
    <w:rsid w:val="161F618A"/>
    <w:rsid w:val="169A5732"/>
    <w:rsid w:val="18F07A15"/>
    <w:rsid w:val="193E2DCB"/>
    <w:rsid w:val="197D37E5"/>
    <w:rsid w:val="1C5E4EFC"/>
    <w:rsid w:val="1C8C4A6C"/>
    <w:rsid w:val="1CC737CA"/>
    <w:rsid w:val="1E164317"/>
    <w:rsid w:val="1E1D01DB"/>
    <w:rsid w:val="1EF67432"/>
    <w:rsid w:val="1F1351E9"/>
    <w:rsid w:val="20E97AC1"/>
    <w:rsid w:val="21115269"/>
    <w:rsid w:val="228F4698"/>
    <w:rsid w:val="22F61C41"/>
    <w:rsid w:val="24B0459D"/>
    <w:rsid w:val="25F9650B"/>
    <w:rsid w:val="263F0183"/>
    <w:rsid w:val="27781B9E"/>
    <w:rsid w:val="28F2481C"/>
    <w:rsid w:val="2A497822"/>
    <w:rsid w:val="2A7412A2"/>
    <w:rsid w:val="2A90243D"/>
    <w:rsid w:val="2B067F68"/>
    <w:rsid w:val="2B754232"/>
    <w:rsid w:val="2C6A3498"/>
    <w:rsid w:val="2CE92A50"/>
    <w:rsid w:val="2D284BB4"/>
    <w:rsid w:val="2D407F4C"/>
    <w:rsid w:val="2D55028C"/>
    <w:rsid w:val="2F49728F"/>
    <w:rsid w:val="30793384"/>
    <w:rsid w:val="30EA2FB7"/>
    <w:rsid w:val="32182DBA"/>
    <w:rsid w:val="336E7556"/>
    <w:rsid w:val="33B522B9"/>
    <w:rsid w:val="33D82DC4"/>
    <w:rsid w:val="35F37727"/>
    <w:rsid w:val="36F741C0"/>
    <w:rsid w:val="377C3728"/>
    <w:rsid w:val="37F406F2"/>
    <w:rsid w:val="38ED6BF3"/>
    <w:rsid w:val="391021AE"/>
    <w:rsid w:val="3AF107ED"/>
    <w:rsid w:val="3B7F1712"/>
    <w:rsid w:val="3C454A78"/>
    <w:rsid w:val="3CE82ECA"/>
    <w:rsid w:val="3F5B7E6D"/>
    <w:rsid w:val="3FDE0FDB"/>
    <w:rsid w:val="41856FE0"/>
    <w:rsid w:val="419D38A3"/>
    <w:rsid w:val="427F7E2D"/>
    <w:rsid w:val="42A46591"/>
    <w:rsid w:val="430F7403"/>
    <w:rsid w:val="442D7B2C"/>
    <w:rsid w:val="4475773A"/>
    <w:rsid w:val="45B83507"/>
    <w:rsid w:val="47DE6468"/>
    <w:rsid w:val="48522F43"/>
    <w:rsid w:val="485D30D5"/>
    <w:rsid w:val="49355CE9"/>
    <w:rsid w:val="4A7F112E"/>
    <w:rsid w:val="4AE478DC"/>
    <w:rsid w:val="4C5A6380"/>
    <w:rsid w:val="4E121B55"/>
    <w:rsid w:val="4E942825"/>
    <w:rsid w:val="4FC730A4"/>
    <w:rsid w:val="4FE92D8A"/>
    <w:rsid w:val="51C12E42"/>
    <w:rsid w:val="5290036C"/>
    <w:rsid w:val="540A2677"/>
    <w:rsid w:val="547B1529"/>
    <w:rsid w:val="557B7D23"/>
    <w:rsid w:val="57633422"/>
    <w:rsid w:val="57AD25FE"/>
    <w:rsid w:val="57CB25AC"/>
    <w:rsid w:val="57E3340C"/>
    <w:rsid w:val="59DC0F38"/>
    <w:rsid w:val="59E85337"/>
    <w:rsid w:val="59F367F2"/>
    <w:rsid w:val="5A5B1025"/>
    <w:rsid w:val="5BE52173"/>
    <w:rsid w:val="5BF92507"/>
    <w:rsid w:val="5C201D8F"/>
    <w:rsid w:val="5CDF3149"/>
    <w:rsid w:val="5DB03139"/>
    <w:rsid w:val="5F246AEA"/>
    <w:rsid w:val="5F92546E"/>
    <w:rsid w:val="61AB0FA1"/>
    <w:rsid w:val="62A23B09"/>
    <w:rsid w:val="62E35A7A"/>
    <w:rsid w:val="637C0150"/>
    <w:rsid w:val="642F69A3"/>
    <w:rsid w:val="64D85196"/>
    <w:rsid w:val="64F7097A"/>
    <w:rsid w:val="652E32C1"/>
    <w:rsid w:val="65E35C92"/>
    <w:rsid w:val="67171665"/>
    <w:rsid w:val="67464C22"/>
    <w:rsid w:val="678E5BEE"/>
    <w:rsid w:val="681304D3"/>
    <w:rsid w:val="68F06F2B"/>
    <w:rsid w:val="691409AD"/>
    <w:rsid w:val="69166546"/>
    <w:rsid w:val="69392234"/>
    <w:rsid w:val="696E20F2"/>
    <w:rsid w:val="69AB4EB6"/>
    <w:rsid w:val="6A1B1B6D"/>
    <w:rsid w:val="6A9D2C3C"/>
    <w:rsid w:val="6AA046FB"/>
    <w:rsid w:val="6C3A04AE"/>
    <w:rsid w:val="6C77379F"/>
    <w:rsid w:val="6D3263C4"/>
    <w:rsid w:val="6D782168"/>
    <w:rsid w:val="6E0C3048"/>
    <w:rsid w:val="6F640099"/>
    <w:rsid w:val="6F71097A"/>
    <w:rsid w:val="70AE3508"/>
    <w:rsid w:val="71296F3C"/>
    <w:rsid w:val="72B56DCF"/>
    <w:rsid w:val="72DB4BD0"/>
    <w:rsid w:val="734621EC"/>
    <w:rsid w:val="73910668"/>
    <w:rsid w:val="73D21A17"/>
    <w:rsid w:val="74F146EB"/>
    <w:rsid w:val="75192C18"/>
    <w:rsid w:val="7588638B"/>
    <w:rsid w:val="763E4DD3"/>
    <w:rsid w:val="76C15D6B"/>
    <w:rsid w:val="76F15606"/>
    <w:rsid w:val="787968F6"/>
    <w:rsid w:val="7AC7547F"/>
    <w:rsid w:val="7B4B5354"/>
    <w:rsid w:val="7B922FC1"/>
    <w:rsid w:val="7C305719"/>
    <w:rsid w:val="7C653614"/>
    <w:rsid w:val="7D4742F4"/>
    <w:rsid w:val="7DE71E07"/>
    <w:rsid w:val="7DF7797A"/>
    <w:rsid w:val="7E2F4237"/>
    <w:rsid w:val="7F79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8C9410"/>
  <w15:docId w15:val="{58F29F51-B8A9-401D-B366-45C12451D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ody Text"/>
    <w:basedOn w:val="a"/>
    <w:link w:val="a6"/>
    <w:uiPriority w:val="99"/>
    <w:qFormat/>
    <w:pPr>
      <w:widowControl/>
      <w:spacing w:after="120" w:line="276" w:lineRule="auto"/>
      <w:jc w:val="left"/>
    </w:pPr>
    <w:rPr>
      <w:rFonts w:ascii="宋体" w:hAnsi="宋体"/>
      <w:kern w:val="0"/>
      <w:sz w:val="22"/>
      <w:lang w:eastAsia="en-US"/>
    </w:rPr>
  </w:style>
  <w:style w:type="paragraph" w:styleId="a7">
    <w:name w:val="Balloon Text"/>
    <w:basedOn w:val="a"/>
    <w:link w:val="a8"/>
    <w:uiPriority w:val="99"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  <w:szCs w:val="24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1">
    <w:name w:val="Strong"/>
    <w:qFormat/>
    <w:rPr>
      <w:b/>
    </w:rPr>
  </w:style>
  <w:style w:type="character" w:styleId="af2">
    <w:name w:val="Hyperlink"/>
    <w:uiPriority w:val="99"/>
    <w:unhideWhenUsed/>
    <w:qFormat/>
    <w:rPr>
      <w:color w:val="0563C1"/>
      <w:u w:val="single"/>
    </w:rPr>
  </w:style>
  <w:style w:type="character" w:styleId="af3">
    <w:name w:val="annotation reference"/>
    <w:uiPriority w:val="99"/>
    <w:qFormat/>
    <w:rPr>
      <w:sz w:val="21"/>
      <w:szCs w:val="21"/>
    </w:rPr>
  </w:style>
  <w:style w:type="character" w:customStyle="1" w:styleId="30">
    <w:name w:val="标题 3 字符"/>
    <w:link w:val="3"/>
    <w:uiPriority w:val="9"/>
    <w:qFormat/>
    <w:rPr>
      <w:b/>
      <w:bCs/>
      <w:kern w:val="2"/>
      <w:sz w:val="32"/>
      <w:szCs w:val="32"/>
    </w:rPr>
  </w:style>
  <w:style w:type="character" w:customStyle="1" w:styleId="a4">
    <w:name w:val="批注文字 字符"/>
    <w:link w:val="a3"/>
    <w:uiPriority w:val="99"/>
    <w:qFormat/>
    <w:rPr>
      <w:kern w:val="2"/>
      <w:sz w:val="21"/>
      <w:szCs w:val="22"/>
    </w:rPr>
  </w:style>
  <w:style w:type="character" w:customStyle="1" w:styleId="a6">
    <w:name w:val="正文文本 字符"/>
    <w:link w:val="a5"/>
    <w:uiPriority w:val="99"/>
    <w:qFormat/>
    <w:rPr>
      <w:rFonts w:ascii="宋体" w:eastAsia="宋体" w:hAnsi="宋体"/>
      <w:sz w:val="22"/>
      <w:szCs w:val="22"/>
      <w:lang w:eastAsia="en-US"/>
    </w:rPr>
  </w:style>
  <w:style w:type="character" w:customStyle="1" w:styleId="a8">
    <w:name w:val="批注框文本 字符"/>
    <w:link w:val="a7"/>
    <w:uiPriority w:val="99"/>
    <w:qFormat/>
    <w:rPr>
      <w:kern w:val="2"/>
      <w:sz w:val="18"/>
      <w:szCs w:val="18"/>
    </w:rPr>
  </w:style>
  <w:style w:type="character" w:customStyle="1" w:styleId="aa">
    <w:name w:val="页脚 字符"/>
    <w:link w:val="a9"/>
    <w:uiPriority w:val="99"/>
    <w:qFormat/>
    <w:rPr>
      <w:kern w:val="2"/>
      <w:sz w:val="18"/>
      <w:szCs w:val="18"/>
    </w:rPr>
  </w:style>
  <w:style w:type="character" w:customStyle="1" w:styleId="ac">
    <w:name w:val="页眉 字符"/>
    <w:link w:val="ab"/>
    <w:uiPriority w:val="99"/>
    <w:qFormat/>
    <w:rPr>
      <w:kern w:val="2"/>
      <w:sz w:val="18"/>
      <w:szCs w:val="18"/>
    </w:rPr>
  </w:style>
  <w:style w:type="character" w:customStyle="1" w:styleId="HTML0">
    <w:name w:val="HTML 预设格式 字符"/>
    <w:link w:val="HTML"/>
    <w:qFormat/>
    <w:rPr>
      <w:rFonts w:ascii="宋体" w:eastAsia="宋体" w:hAnsi="宋体" w:cs="Times New Roman"/>
      <w:sz w:val="24"/>
      <w:szCs w:val="24"/>
    </w:rPr>
  </w:style>
  <w:style w:type="character" w:customStyle="1" w:styleId="af">
    <w:name w:val="批注主题 字符"/>
    <w:link w:val="ae"/>
    <w:uiPriority w:val="99"/>
    <w:qFormat/>
    <w:rPr>
      <w:b/>
      <w:bCs/>
      <w:kern w:val="2"/>
      <w:sz w:val="21"/>
      <w:szCs w:val="22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 w:bidi="zh-CN"/>
    </w:rPr>
  </w:style>
  <w:style w:type="paragraph" w:customStyle="1" w:styleId="1">
    <w:name w:val="修订1"/>
    <w:uiPriority w:val="99"/>
    <w:qFormat/>
    <w:rPr>
      <w:rFonts w:ascii="Calibri" w:hAnsi="Calibri" w:cs="宋体"/>
      <w:kern w:val="2"/>
      <w:sz w:val="21"/>
      <w:szCs w:val="22"/>
    </w:rPr>
  </w:style>
  <w:style w:type="character" w:customStyle="1" w:styleId="10">
    <w:name w:val="未处理的提及1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1609</Words>
  <Characters>317</Characters>
  <Application>Microsoft Office Word</Application>
  <DocSecurity>0</DocSecurity>
  <Lines>2</Lines>
  <Paragraphs>3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Xiang</dc:creator>
  <cp:lastModifiedBy>瞿苗</cp:lastModifiedBy>
  <cp:revision>31</cp:revision>
  <dcterms:created xsi:type="dcterms:W3CDTF">2025-05-30T07:21:00Z</dcterms:created>
  <dcterms:modified xsi:type="dcterms:W3CDTF">2025-09-23T07:42:00Z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CCCECE40B3AD4371AA86C89427254B4E_13</vt:lpwstr>
  </property>
  <property fmtid="{D5CDD505-2E9C-101B-9397-08002B2CF9AE}" pid="4" name="KSOTemplateDocerSaveRecord">
    <vt:lpwstr>eyJoZGlkIjoiOTc0ZTc1ODcwOTRiYjBmMjU1ZDg3MmI3MDVmNTFiYWEiLCJ1c2VySWQiOiIyMjMxOTA0NjcifQ==</vt:lpwstr>
  </property>
</Properties>
</file>