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005A5" w14:textId="77777777" w:rsidR="00C54515" w:rsidRDefault="00000000">
      <w:pPr>
        <w:jc w:val="center"/>
        <w:rPr>
          <w:rFonts w:ascii="宋体" w:eastAsia="宋体" w:hAnsi="宋体" w:cs="宋体" w:hint="eastAsia"/>
          <w:b/>
          <w:bCs/>
          <w:sz w:val="30"/>
          <w:szCs w:val="30"/>
        </w:rPr>
      </w:pPr>
      <w:r>
        <w:rPr>
          <w:rFonts w:ascii="宋体" w:eastAsia="宋体" w:hAnsi="宋体" w:cs="宋体" w:hint="eastAsia"/>
          <w:b/>
          <w:bCs/>
          <w:sz w:val="30"/>
          <w:szCs w:val="30"/>
        </w:rPr>
        <w:t>天津美腾科技股份有限公司</w:t>
      </w:r>
    </w:p>
    <w:p w14:paraId="4CC5502D" w14:textId="77777777" w:rsidR="00C54515" w:rsidRDefault="00000000">
      <w:pPr>
        <w:jc w:val="center"/>
        <w:rPr>
          <w:rFonts w:ascii="宋体" w:eastAsia="宋体" w:hAnsi="宋体" w:cs="宋体" w:hint="eastAsia"/>
          <w:b/>
          <w:bCs/>
          <w:sz w:val="30"/>
          <w:szCs w:val="30"/>
        </w:rPr>
      </w:pPr>
      <w:r>
        <w:rPr>
          <w:rFonts w:ascii="宋体" w:eastAsia="宋体" w:hAnsi="宋体" w:cs="宋体" w:hint="eastAsia"/>
          <w:b/>
          <w:bCs/>
          <w:sz w:val="30"/>
          <w:szCs w:val="30"/>
        </w:rPr>
        <w:t>投资者关系活动记录表</w:t>
      </w:r>
    </w:p>
    <w:p w14:paraId="48A1A1E4" w14:textId="77777777" w:rsidR="00C54515" w:rsidRDefault="00000000">
      <w:pPr>
        <w:jc w:val="center"/>
        <w:rPr>
          <w:rFonts w:ascii="宋体" w:eastAsia="宋体" w:hAnsi="宋体" w:cs="宋体" w:hint="eastAsia"/>
          <w:b/>
          <w:bCs/>
          <w:sz w:val="30"/>
          <w:szCs w:val="30"/>
        </w:rPr>
      </w:pPr>
      <w:r>
        <w:rPr>
          <w:rFonts w:ascii="宋体" w:eastAsia="宋体" w:hAnsi="宋体" w:cs="宋体" w:hint="eastAsia"/>
          <w:b/>
          <w:bCs/>
          <w:sz w:val="30"/>
          <w:szCs w:val="30"/>
        </w:rPr>
        <w:t>（2025年9月25日）</w:t>
      </w:r>
    </w:p>
    <w:p w14:paraId="7BCC95F8" w14:textId="77777777" w:rsidR="00C54515" w:rsidRDefault="00000000">
      <w:pPr>
        <w:rPr>
          <w:rFonts w:ascii="宋体" w:eastAsia="宋体" w:hAnsi="宋体" w:cs="宋体" w:hint="eastAsia"/>
          <w:b/>
          <w:bCs/>
          <w:szCs w:val="21"/>
        </w:rPr>
      </w:pPr>
      <w:r>
        <w:rPr>
          <w:rFonts w:ascii="宋体" w:eastAsia="宋体" w:hAnsi="宋体" w:cs="宋体" w:hint="eastAsia"/>
          <w:b/>
          <w:bCs/>
          <w:szCs w:val="21"/>
        </w:rPr>
        <w:t>编号：2025-002</w:t>
      </w:r>
    </w:p>
    <w:tbl>
      <w:tblPr>
        <w:tblStyle w:val="ad"/>
        <w:tblW w:w="0" w:type="auto"/>
        <w:tblLayout w:type="fixed"/>
        <w:tblLook w:val="04A0" w:firstRow="1" w:lastRow="0" w:firstColumn="1" w:lastColumn="0" w:noHBand="0" w:noVBand="1"/>
      </w:tblPr>
      <w:tblGrid>
        <w:gridCol w:w="1102"/>
        <w:gridCol w:w="7370"/>
      </w:tblGrid>
      <w:tr w:rsidR="00C54515" w14:paraId="1ADC9DBE" w14:textId="77777777">
        <w:trPr>
          <w:trHeight w:val="1618"/>
        </w:trPr>
        <w:tc>
          <w:tcPr>
            <w:tcW w:w="1102" w:type="dxa"/>
            <w:vAlign w:val="center"/>
          </w:tcPr>
          <w:p w14:paraId="72A24BBE" w14:textId="77777777" w:rsidR="00C54515" w:rsidRDefault="00000000">
            <w:pPr>
              <w:wordWrap w:val="0"/>
              <w:topLinePunct/>
              <w:spacing w:line="240" w:lineRule="atLeast"/>
              <w:jc w:val="center"/>
              <w:rPr>
                <w:rFonts w:ascii="宋体" w:eastAsia="宋体" w:hAnsi="宋体" w:cs="宋体" w:hint="eastAsia"/>
                <w:b/>
                <w:bCs/>
                <w:szCs w:val="21"/>
              </w:rPr>
            </w:pPr>
            <w:r>
              <w:rPr>
                <w:rFonts w:ascii="宋体" w:eastAsia="宋体" w:hAnsi="宋体" w:cs="宋体" w:hint="eastAsia"/>
                <w:b/>
                <w:bCs/>
                <w:szCs w:val="21"/>
              </w:rPr>
              <w:t>投资者关系活动类别</w:t>
            </w:r>
          </w:p>
        </w:tc>
        <w:tc>
          <w:tcPr>
            <w:tcW w:w="7370" w:type="dxa"/>
          </w:tcPr>
          <w:p w14:paraId="5740B394" w14:textId="77777777" w:rsidR="00C54515" w:rsidRDefault="00000000">
            <w:pPr>
              <w:wordWrap w:val="0"/>
              <w:topLinePunct/>
              <w:rPr>
                <w:rFonts w:ascii="宋体" w:eastAsia="宋体" w:hAnsi="宋体" w:cs="宋体" w:hint="eastAsia"/>
                <w:szCs w:val="21"/>
                <w:shd w:val="clear" w:color="auto" w:fill="FFFFFF"/>
              </w:rPr>
            </w:pPr>
            <w:r>
              <w:rPr>
                <w:rFonts w:ascii="宋体" w:eastAsia="宋体" w:hAnsi="宋体" w:cs="宋体" w:hint="eastAsia"/>
                <w:szCs w:val="21"/>
                <w:shd w:val="clear" w:color="auto" w:fill="FFFFFF"/>
              </w:rPr>
              <w:sym w:font="Wingdings" w:char="00A8"/>
            </w:r>
            <w:r>
              <w:rPr>
                <w:rFonts w:ascii="宋体" w:eastAsia="宋体" w:hAnsi="宋体" w:cs="宋体" w:hint="eastAsia"/>
                <w:szCs w:val="21"/>
                <w:shd w:val="clear" w:color="auto" w:fill="FFFFFF"/>
              </w:rPr>
              <w:t xml:space="preserve">特定对象调研                        </w:t>
            </w:r>
            <w:r>
              <w:rPr>
                <w:rFonts w:ascii="宋体" w:eastAsia="宋体" w:hAnsi="宋体" w:cs="宋体" w:hint="eastAsia"/>
                <w:szCs w:val="21"/>
                <w:shd w:val="clear" w:color="auto" w:fill="FFFFFF"/>
              </w:rPr>
              <w:sym w:font="Wingdings" w:char="00A8"/>
            </w:r>
            <w:r>
              <w:rPr>
                <w:rFonts w:ascii="宋体" w:eastAsia="宋体" w:hAnsi="宋体" w:cs="宋体" w:hint="eastAsia"/>
                <w:szCs w:val="21"/>
                <w:shd w:val="clear" w:color="auto" w:fill="FFFFFF"/>
              </w:rPr>
              <w:t>分析师会议</w:t>
            </w:r>
          </w:p>
          <w:p w14:paraId="683622D5" w14:textId="77777777" w:rsidR="00C54515" w:rsidRDefault="00000000">
            <w:pPr>
              <w:wordWrap w:val="0"/>
              <w:topLinePunct/>
              <w:rPr>
                <w:rFonts w:ascii="宋体" w:eastAsia="宋体" w:hAnsi="宋体" w:cs="宋体" w:hint="eastAsia"/>
                <w:szCs w:val="21"/>
                <w:shd w:val="clear" w:color="auto" w:fill="FFFFFF"/>
              </w:rPr>
            </w:pPr>
            <w:r>
              <w:rPr>
                <w:rFonts w:ascii="宋体" w:eastAsia="宋体" w:hAnsi="宋体" w:cs="宋体" w:hint="eastAsia"/>
                <w:szCs w:val="21"/>
                <w:shd w:val="clear" w:color="auto" w:fill="FFFFFF"/>
              </w:rPr>
              <w:sym w:font="Wingdings" w:char="00A8"/>
            </w:r>
            <w:r>
              <w:rPr>
                <w:rFonts w:ascii="宋体" w:eastAsia="宋体" w:hAnsi="宋体" w:cs="宋体" w:hint="eastAsia"/>
                <w:szCs w:val="21"/>
                <w:shd w:val="clear" w:color="auto" w:fill="FFFFFF"/>
              </w:rPr>
              <w:t xml:space="preserve">媒体采访                            </w:t>
            </w:r>
            <w:r>
              <w:rPr>
                <w:rFonts w:ascii="宋体" w:eastAsia="宋体" w:hAnsi="宋体" w:cs="宋体" w:hint="eastAsia"/>
                <w:szCs w:val="21"/>
                <w:shd w:val="clear" w:color="auto" w:fill="FFFFFF"/>
              </w:rPr>
              <w:sym w:font="Wingdings" w:char="00A8"/>
            </w:r>
            <w:r>
              <w:rPr>
                <w:rFonts w:ascii="宋体" w:eastAsia="宋体" w:hAnsi="宋体" w:cs="宋体" w:hint="eastAsia"/>
                <w:szCs w:val="21"/>
                <w:shd w:val="clear" w:color="auto" w:fill="FFFFFF"/>
              </w:rPr>
              <w:t>业绩说明会</w:t>
            </w:r>
          </w:p>
          <w:p w14:paraId="7FE33F0F" w14:textId="77777777" w:rsidR="00C54515" w:rsidRDefault="00000000">
            <w:pPr>
              <w:wordWrap w:val="0"/>
              <w:topLinePunct/>
              <w:rPr>
                <w:rFonts w:ascii="宋体" w:eastAsia="宋体" w:hAnsi="宋体" w:cs="宋体" w:hint="eastAsia"/>
                <w:szCs w:val="21"/>
                <w:shd w:val="clear" w:color="auto" w:fill="FFFFFF"/>
              </w:rPr>
            </w:pPr>
            <w:r>
              <w:rPr>
                <w:rFonts w:ascii="宋体" w:eastAsia="宋体" w:hAnsi="宋体" w:cs="宋体" w:hint="eastAsia"/>
                <w:szCs w:val="21"/>
                <w:shd w:val="clear" w:color="auto" w:fill="FFFFFF"/>
              </w:rPr>
              <w:sym w:font="Wingdings" w:char="00A8"/>
            </w:r>
            <w:r>
              <w:rPr>
                <w:rFonts w:ascii="宋体" w:eastAsia="宋体" w:hAnsi="宋体" w:cs="宋体" w:hint="eastAsia"/>
                <w:szCs w:val="21"/>
                <w:shd w:val="clear" w:color="auto" w:fill="FFFFFF"/>
              </w:rPr>
              <w:t xml:space="preserve">新闻发布会                          </w:t>
            </w:r>
            <w:r>
              <w:rPr>
                <w:rFonts w:ascii="宋体" w:eastAsia="宋体" w:hAnsi="宋体" w:cs="宋体" w:hint="eastAsia"/>
                <w:szCs w:val="21"/>
                <w:shd w:val="clear" w:color="auto" w:fill="FFFFFF"/>
              </w:rPr>
              <w:sym w:font="Wingdings" w:char="00A8"/>
            </w:r>
            <w:r>
              <w:rPr>
                <w:rFonts w:ascii="宋体" w:eastAsia="宋体" w:hAnsi="宋体" w:cs="宋体" w:hint="eastAsia"/>
                <w:szCs w:val="21"/>
                <w:shd w:val="clear" w:color="auto" w:fill="FFFFFF"/>
              </w:rPr>
              <w:t>路演活动</w:t>
            </w:r>
          </w:p>
          <w:p w14:paraId="4BF7220D" w14:textId="63F86FB7" w:rsidR="00C54515" w:rsidRDefault="00000000">
            <w:pPr>
              <w:wordWrap w:val="0"/>
              <w:topLinePunct/>
              <w:rPr>
                <w:rFonts w:ascii="宋体" w:eastAsia="宋体" w:hAnsi="宋体" w:cs="宋体" w:hint="eastAsia"/>
                <w:szCs w:val="21"/>
                <w:shd w:val="clear" w:color="auto" w:fill="FFFFFF"/>
              </w:rPr>
            </w:pPr>
            <w:r>
              <w:rPr>
                <w:rFonts w:ascii="宋体" w:eastAsia="宋体" w:hAnsi="宋体" w:cs="宋体" w:hint="eastAsia"/>
                <w:szCs w:val="21"/>
                <w:shd w:val="clear" w:color="auto" w:fill="FFFFFF"/>
              </w:rPr>
              <w:sym w:font="Wingdings" w:char="00A8"/>
            </w:r>
            <w:r>
              <w:rPr>
                <w:rFonts w:ascii="宋体" w:eastAsia="宋体" w:hAnsi="宋体" w:cs="宋体" w:hint="eastAsia"/>
                <w:szCs w:val="21"/>
                <w:shd w:val="clear" w:color="auto" w:fill="FFFFFF"/>
              </w:rPr>
              <w:t xml:space="preserve">专场机构交流会                      </w:t>
            </w:r>
            <w:r w:rsidR="00D24E01">
              <w:rPr>
                <w:rFonts w:ascii="宋体" w:eastAsia="宋体" w:hAnsi="宋体" w:cs="宋体" w:hint="eastAsia"/>
                <w:szCs w:val="21"/>
                <w:shd w:val="clear" w:color="auto" w:fill="FFFFFF"/>
              </w:rPr>
              <w:sym w:font="Wingdings" w:char="00FE"/>
            </w:r>
            <w:r>
              <w:rPr>
                <w:rFonts w:ascii="宋体" w:eastAsia="宋体" w:hAnsi="宋体" w:cs="宋体" w:hint="eastAsia"/>
                <w:szCs w:val="21"/>
                <w:shd w:val="clear" w:color="auto" w:fill="FFFFFF"/>
              </w:rPr>
              <w:t>现场参观</w:t>
            </w:r>
          </w:p>
          <w:p w14:paraId="62E23373" w14:textId="77777777" w:rsidR="00C54515" w:rsidRDefault="00000000">
            <w:pPr>
              <w:wordWrap w:val="0"/>
              <w:topLinePunct/>
              <w:rPr>
                <w:rFonts w:ascii="宋体" w:eastAsia="宋体" w:hAnsi="宋体" w:cs="宋体" w:hint="eastAsia"/>
                <w:szCs w:val="21"/>
              </w:rPr>
            </w:pPr>
            <w:r>
              <w:rPr>
                <w:rFonts w:ascii="宋体" w:eastAsia="宋体" w:hAnsi="宋体" w:cs="宋体" w:hint="eastAsia"/>
                <w:szCs w:val="21"/>
                <w:shd w:val="clear" w:color="auto" w:fill="FFFFFF"/>
              </w:rPr>
              <w:sym w:font="Wingdings" w:char="00FE"/>
            </w:r>
            <w:r>
              <w:rPr>
                <w:rFonts w:ascii="宋体" w:eastAsia="宋体" w:hAnsi="宋体" w:cs="宋体" w:hint="eastAsia"/>
                <w:szCs w:val="21"/>
                <w:shd w:val="clear" w:color="auto" w:fill="FFFFFF"/>
              </w:rPr>
              <w:t>其他：“我是股东”走进沪市上市公司活动</w:t>
            </w:r>
          </w:p>
        </w:tc>
      </w:tr>
      <w:tr w:rsidR="00C54515" w14:paraId="668A6DBA" w14:textId="77777777">
        <w:trPr>
          <w:trHeight w:val="1045"/>
        </w:trPr>
        <w:tc>
          <w:tcPr>
            <w:tcW w:w="1102" w:type="dxa"/>
            <w:vAlign w:val="center"/>
          </w:tcPr>
          <w:p w14:paraId="1C9C4922" w14:textId="77777777" w:rsidR="00C54515" w:rsidRDefault="00000000">
            <w:pPr>
              <w:wordWrap w:val="0"/>
              <w:topLinePunct/>
              <w:jc w:val="center"/>
              <w:rPr>
                <w:rFonts w:ascii="宋体" w:eastAsia="宋体" w:hAnsi="宋体" w:cs="宋体" w:hint="eastAsia"/>
                <w:b/>
                <w:bCs/>
                <w:szCs w:val="21"/>
              </w:rPr>
            </w:pPr>
            <w:r>
              <w:rPr>
                <w:rFonts w:ascii="宋体" w:eastAsia="宋体" w:hAnsi="宋体" w:cs="宋体" w:hint="eastAsia"/>
                <w:b/>
                <w:bCs/>
                <w:szCs w:val="21"/>
              </w:rPr>
              <w:t>参与单位名称及人员姓名</w:t>
            </w:r>
          </w:p>
        </w:tc>
        <w:tc>
          <w:tcPr>
            <w:tcW w:w="7370" w:type="dxa"/>
            <w:vAlign w:val="center"/>
          </w:tcPr>
          <w:p w14:paraId="32AE5F4A" w14:textId="77777777" w:rsidR="00C54515" w:rsidRDefault="00000000">
            <w:pPr>
              <w:wordWrap w:val="0"/>
              <w:topLinePunct/>
              <w:rPr>
                <w:rFonts w:ascii="宋体" w:eastAsia="宋体" w:hAnsi="宋体" w:cs="宋体" w:hint="eastAsia"/>
                <w:szCs w:val="21"/>
              </w:rPr>
            </w:pPr>
            <w:r>
              <w:rPr>
                <w:rFonts w:ascii="宋体" w:eastAsia="宋体" w:hAnsi="宋体" w:cs="宋体" w:hint="eastAsia"/>
                <w:szCs w:val="21"/>
              </w:rPr>
              <w:t>国新证券及个人投资者共计16人</w:t>
            </w:r>
          </w:p>
        </w:tc>
      </w:tr>
      <w:tr w:rsidR="00C54515" w14:paraId="06EBF5FF" w14:textId="77777777">
        <w:trPr>
          <w:trHeight w:val="519"/>
        </w:trPr>
        <w:tc>
          <w:tcPr>
            <w:tcW w:w="1102" w:type="dxa"/>
            <w:vAlign w:val="center"/>
          </w:tcPr>
          <w:p w14:paraId="67A05C39" w14:textId="77777777" w:rsidR="00C54515" w:rsidRDefault="00000000">
            <w:pPr>
              <w:wordWrap w:val="0"/>
              <w:topLinePunct/>
              <w:jc w:val="center"/>
              <w:rPr>
                <w:rFonts w:ascii="宋体" w:eastAsia="宋体" w:hAnsi="宋体" w:cs="宋体" w:hint="eastAsia"/>
                <w:b/>
                <w:bCs/>
                <w:szCs w:val="21"/>
              </w:rPr>
            </w:pPr>
            <w:r>
              <w:rPr>
                <w:rFonts w:ascii="宋体" w:eastAsia="宋体" w:hAnsi="宋体" w:cs="宋体" w:hint="eastAsia"/>
                <w:b/>
                <w:bCs/>
                <w:szCs w:val="21"/>
              </w:rPr>
              <w:t>会议时间</w:t>
            </w:r>
          </w:p>
        </w:tc>
        <w:tc>
          <w:tcPr>
            <w:tcW w:w="7370" w:type="dxa"/>
            <w:vAlign w:val="center"/>
          </w:tcPr>
          <w:p w14:paraId="0DFEE6E1" w14:textId="77777777" w:rsidR="00C54515" w:rsidRDefault="00000000">
            <w:pPr>
              <w:wordWrap w:val="0"/>
              <w:topLinePunct/>
              <w:spacing w:line="360" w:lineRule="auto"/>
              <w:rPr>
                <w:rFonts w:ascii="宋体" w:eastAsia="宋体" w:hAnsi="宋体" w:cs="宋体" w:hint="eastAsia"/>
                <w:szCs w:val="21"/>
              </w:rPr>
            </w:pPr>
            <w:r>
              <w:rPr>
                <w:rFonts w:ascii="宋体" w:eastAsia="宋体" w:hAnsi="宋体" w:cs="宋体" w:hint="eastAsia"/>
                <w:szCs w:val="21"/>
              </w:rPr>
              <w:t>2025年9月25日</w:t>
            </w:r>
          </w:p>
        </w:tc>
      </w:tr>
      <w:tr w:rsidR="00C54515" w14:paraId="41FF98F5" w14:textId="77777777">
        <w:trPr>
          <w:trHeight w:val="597"/>
        </w:trPr>
        <w:tc>
          <w:tcPr>
            <w:tcW w:w="1102" w:type="dxa"/>
            <w:vAlign w:val="center"/>
          </w:tcPr>
          <w:p w14:paraId="2548EA37" w14:textId="77777777" w:rsidR="00C54515" w:rsidRDefault="00000000">
            <w:pPr>
              <w:wordWrap w:val="0"/>
              <w:topLinePunct/>
              <w:jc w:val="center"/>
              <w:rPr>
                <w:rFonts w:ascii="宋体" w:eastAsia="宋体" w:hAnsi="宋体" w:cs="宋体" w:hint="eastAsia"/>
                <w:b/>
                <w:bCs/>
                <w:szCs w:val="21"/>
              </w:rPr>
            </w:pPr>
            <w:r>
              <w:rPr>
                <w:rFonts w:ascii="宋体" w:eastAsia="宋体" w:hAnsi="宋体" w:cs="宋体" w:hint="eastAsia"/>
                <w:b/>
                <w:bCs/>
                <w:szCs w:val="21"/>
              </w:rPr>
              <w:t>会议地点</w:t>
            </w:r>
          </w:p>
        </w:tc>
        <w:tc>
          <w:tcPr>
            <w:tcW w:w="7370" w:type="dxa"/>
            <w:vAlign w:val="center"/>
          </w:tcPr>
          <w:p w14:paraId="794E0AC1" w14:textId="4FA481B5" w:rsidR="00C54515" w:rsidRDefault="00D24E01">
            <w:pPr>
              <w:wordWrap w:val="0"/>
              <w:topLinePunct/>
              <w:spacing w:line="360" w:lineRule="auto"/>
              <w:rPr>
                <w:rFonts w:ascii="宋体" w:eastAsia="宋体" w:hAnsi="宋体" w:cs="宋体" w:hint="eastAsia"/>
                <w:szCs w:val="21"/>
              </w:rPr>
            </w:pPr>
            <w:r>
              <w:rPr>
                <w:rFonts w:ascii="宋体" w:eastAsia="宋体" w:hAnsi="宋体" w:cs="宋体" w:hint="eastAsia"/>
                <w:szCs w:val="21"/>
              </w:rPr>
              <w:t>天津市西青区美腾研发实验基地</w:t>
            </w:r>
          </w:p>
        </w:tc>
      </w:tr>
      <w:tr w:rsidR="00C54515" w14:paraId="0F5DDC6E" w14:textId="77777777">
        <w:trPr>
          <w:trHeight w:val="1682"/>
        </w:trPr>
        <w:tc>
          <w:tcPr>
            <w:tcW w:w="1102" w:type="dxa"/>
            <w:vAlign w:val="center"/>
          </w:tcPr>
          <w:p w14:paraId="059BB8D0" w14:textId="77777777" w:rsidR="00C54515" w:rsidRDefault="00000000">
            <w:pPr>
              <w:wordWrap w:val="0"/>
              <w:topLinePunct/>
              <w:jc w:val="center"/>
              <w:rPr>
                <w:rFonts w:ascii="宋体" w:eastAsia="宋体" w:hAnsi="宋体" w:cs="宋体" w:hint="eastAsia"/>
                <w:b/>
                <w:bCs/>
                <w:szCs w:val="21"/>
              </w:rPr>
            </w:pPr>
            <w:r>
              <w:rPr>
                <w:rFonts w:ascii="宋体" w:eastAsia="宋体" w:hAnsi="宋体" w:cs="宋体" w:hint="eastAsia"/>
                <w:b/>
                <w:bCs/>
                <w:szCs w:val="21"/>
              </w:rPr>
              <w:t>上市公司接待人员姓名</w:t>
            </w:r>
          </w:p>
        </w:tc>
        <w:tc>
          <w:tcPr>
            <w:tcW w:w="7370" w:type="dxa"/>
            <w:vAlign w:val="center"/>
          </w:tcPr>
          <w:p w14:paraId="420DB3D1" w14:textId="77777777" w:rsidR="00C54515" w:rsidRDefault="00000000">
            <w:pPr>
              <w:wordWrap w:val="0"/>
              <w:topLinePunct/>
              <w:rPr>
                <w:rFonts w:ascii="宋体" w:eastAsia="宋体" w:hAnsi="宋体" w:cs="宋体" w:hint="eastAsia"/>
                <w:szCs w:val="21"/>
              </w:rPr>
            </w:pPr>
            <w:r>
              <w:rPr>
                <w:rFonts w:ascii="宋体" w:eastAsia="宋体" w:hAnsi="宋体" w:cs="宋体" w:hint="eastAsia"/>
                <w:szCs w:val="21"/>
              </w:rPr>
              <w:t>证券事务代表：杨正玲</w:t>
            </w:r>
          </w:p>
          <w:p w14:paraId="22B831DE" w14:textId="77777777" w:rsidR="00C54515" w:rsidRDefault="00000000">
            <w:pPr>
              <w:wordWrap w:val="0"/>
              <w:topLinePunct/>
              <w:rPr>
                <w:rFonts w:ascii="宋体" w:eastAsia="宋体" w:hAnsi="宋体" w:cs="宋体" w:hint="eastAsia"/>
                <w:szCs w:val="21"/>
              </w:rPr>
            </w:pPr>
            <w:r>
              <w:rPr>
                <w:rFonts w:ascii="宋体" w:eastAsia="宋体" w:hAnsi="宋体" w:cs="宋体" w:hint="eastAsia"/>
                <w:szCs w:val="21"/>
              </w:rPr>
              <w:t>信息披露经理：李薇</w:t>
            </w:r>
          </w:p>
        </w:tc>
      </w:tr>
      <w:tr w:rsidR="00C54515" w14:paraId="6432EC21" w14:textId="77777777">
        <w:trPr>
          <w:trHeight w:val="2948"/>
        </w:trPr>
        <w:tc>
          <w:tcPr>
            <w:tcW w:w="1102" w:type="dxa"/>
            <w:vAlign w:val="center"/>
          </w:tcPr>
          <w:p w14:paraId="1EDE2614" w14:textId="77777777" w:rsidR="00C54515" w:rsidRDefault="00000000">
            <w:pPr>
              <w:wordWrap w:val="0"/>
              <w:topLinePunct/>
              <w:jc w:val="center"/>
              <w:rPr>
                <w:rFonts w:ascii="宋体" w:eastAsia="宋体" w:hAnsi="宋体" w:cs="宋体" w:hint="eastAsia"/>
                <w:b/>
                <w:bCs/>
                <w:szCs w:val="21"/>
              </w:rPr>
            </w:pPr>
            <w:r>
              <w:rPr>
                <w:rFonts w:ascii="宋体" w:eastAsia="宋体" w:hAnsi="宋体" w:cs="宋体" w:hint="eastAsia"/>
                <w:b/>
                <w:bCs/>
                <w:szCs w:val="21"/>
              </w:rPr>
              <w:t>投资者关系活动主要内容介绍</w:t>
            </w:r>
          </w:p>
        </w:tc>
        <w:tc>
          <w:tcPr>
            <w:tcW w:w="7370" w:type="dxa"/>
          </w:tcPr>
          <w:p w14:paraId="4B6796FF" w14:textId="77777777" w:rsidR="00C54515" w:rsidRDefault="00000000">
            <w:pPr>
              <w:spacing w:line="360" w:lineRule="auto"/>
              <w:rPr>
                <w:rFonts w:asciiTheme="minorEastAsia" w:hAnsiTheme="minorEastAsia" w:hint="eastAsia"/>
                <w:b/>
                <w:bCs/>
              </w:rPr>
            </w:pPr>
            <w:r>
              <w:rPr>
                <w:rFonts w:asciiTheme="minorEastAsia" w:hAnsiTheme="minorEastAsia" w:hint="eastAsia"/>
                <w:b/>
                <w:bCs/>
              </w:rPr>
              <w:t>一、本次“‘我是股东’走进沪市上市公司——美腾科技”活动主要内容</w:t>
            </w:r>
          </w:p>
          <w:p w14:paraId="60188449" w14:textId="7510D996" w:rsidR="00C54515" w:rsidRDefault="00000000">
            <w:pPr>
              <w:spacing w:line="360" w:lineRule="auto"/>
              <w:rPr>
                <w:rFonts w:asciiTheme="minorEastAsia" w:hAnsiTheme="minorEastAsia" w:hint="eastAsia"/>
              </w:rPr>
            </w:pPr>
            <w:r>
              <w:rPr>
                <w:rFonts w:asciiTheme="minorEastAsia" w:hAnsiTheme="minorEastAsia" w:hint="eastAsia"/>
              </w:rPr>
              <w:t>1、投资者调研参观公司展厅、</w:t>
            </w:r>
            <w:r w:rsidR="00D24E01">
              <w:rPr>
                <w:rFonts w:asciiTheme="minorEastAsia" w:hAnsiTheme="minorEastAsia" w:hint="eastAsia"/>
              </w:rPr>
              <w:t>研发实验基地</w:t>
            </w:r>
            <w:r>
              <w:rPr>
                <w:rFonts w:asciiTheme="minorEastAsia" w:hAnsiTheme="minorEastAsia" w:hint="eastAsia"/>
              </w:rPr>
              <w:t>。</w:t>
            </w:r>
          </w:p>
          <w:p w14:paraId="2797C195" w14:textId="77777777" w:rsidR="00C54515" w:rsidRDefault="00000000">
            <w:pPr>
              <w:spacing w:line="360" w:lineRule="auto"/>
              <w:rPr>
                <w:rFonts w:asciiTheme="minorEastAsia" w:hAnsiTheme="minorEastAsia" w:hint="eastAsia"/>
              </w:rPr>
            </w:pPr>
            <w:r>
              <w:rPr>
                <w:rFonts w:asciiTheme="minorEastAsia" w:hAnsiTheme="minorEastAsia" w:hint="eastAsia"/>
              </w:rPr>
              <w:t>2、公司证券部工作人员介绍行业情况和公司经营情况。</w:t>
            </w:r>
          </w:p>
          <w:p w14:paraId="03EA3B89" w14:textId="77777777" w:rsidR="00C54515" w:rsidRDefault="00000000">
            <w:pPr>
              <w:spacing w:line="360" w:lineRule="auto"/>
              <w:rPr>
                <w:rFonts w:asciiTheme="minorEastAsia" w:hAnsiTheme="minorEastAsia" w:hint="eastAsia"/>
              </w:rPr>
            </w:pPr>
            <w:r>
              <w:rPr>
                <w:rFonts w:asciiTheme="minorEastAsia" w:hAnsiTheme="minorEastAsia" w:hint="eastAsia"/>
              </w:rPr>
              <w:t>3、公司证券部工作人员与投资者互动交流。</w:t>
            </w:r>
          </w:p>
          <w:p w14:paraId="4BFAB868" w14:textId="77777777" w:rsidR="00C54515" w:rsidRDefault="00000000">
            <w:pPr>
              <w:spacing w:line="360" w:lineRule="auto"/>
              <w:rPr>
                <w:rFonts w:asciiTheme="minorEastAsia" w:hAnsiTheme="minorEastAsia" w:hint="eastAsia"/>
                <w:b/>
                <w:bCs/>
              </w:rPr>
            </w:pPr>
            <w:r>
              <w:rPr>
                <w:rFonts w:asciiTheme="minorEastAsia" w:hAnsiTheme="minorEastAsia" w:hint="eastAsia"/>
                <w:b/>
                <w:bCs/>
              </w:rPr>
              <w:t>二、本次交流的主要问题及回复</w:t>
            </w:r>
          </w:p>
          <w:p w14:paraId="6C814C1D" w14:textId="77777777" w:rsidR="00C54515" w:rsidRDefault="00000000">
            <w:pPr>
              <w:spacing w:line="360" w:lineRule="auto"/>
              <w:rPr>
                <w:rFonts w:asciiTheme="minorEastAsia" w:hAnsiTheme="minorEastAsia" w:hint="eastAsia"/>
                <w:b/>
                <w:bCs/>
              </w:rPr>
            </w:pPr>
            <w:r>
              <w:rPr>
                <w:rFonts w:asciiTheme="minorEastAsia" w:hAnsiTheme="minorEastAsia" w:hint="eastAsia"/>
                <w:b/>
                <w:bCs/>
              </w:rPr>
              <w:t>Q1公司产品的交付周期是多久？</w:t>
            </w:r>
          </w:p>
          <w:p w14:paraId="3751E8AD" w14:textId="77777777" w:rsidR="00C54515" w:rsidRDefault="00000000">
            <w:pPr>
              <w:spacing w:line="360" w:lineRule="auto"/>
              <w:rPr>
                <w:rFonts w:asciiTheme="minorEastAsia" w:hAnsiTheme="minorEastAsia" w:hint="eastAsia"/>
              </w:rPr>
            </w:pPr>
            <w:r>
              <w:rPr>
                <w:rFonts w:asciiTheme="minorEastAsia" w:hAnsiTheme="minorEastAsia" w:hint="eastAsia"/>
              </w:rPr>
              <w:t>A1：公司主要产品具有一定的非标准化及定制化特点，从签订合同到交付验收通常需要6-12个月，个别安装调试复杂的TDS产品，以及大型智能化项目的验收周期需要1-2年甚至更长。目前，公司在智能装备领域，通过将产品进行模块化设计和生产，优化产品交付流程，可以提高效率，一定程度上缩短验收周期。</w:t>
            </w:r>
          </w:p>
          <w:p w14:paraId="5C57FD4D" w14:textId="77777777" w:rsidR="00C54515" w:rsidRDefault="00000000">
            <w:pPr>
              <w:spacing w:line="360" w:lineRule="auto"/>
              <w:rPr>
                <w:rFonts w:asciiTheme="minorEastAsia" w:hAnsiTheme="minorEastAsia" w:hint="eastAsia"/>
                <w:b/>
                <w:bCs/>
              </w:rPr>
            </w:pPr>
            <w:r>
              <w:rPr>
                <w:rFonts w:asciiTheme="minorEastAsia" w:hAnsiTheme="minorEastAsia" w:hint="eastAsia"/>
                <w:b/>
                <w:bCs/>
              </w:rPr>
              <w:t>Q2:公司运营订单的收入确认模式是怎样的？</w:t>
            </w:r>
          </w:p>
          <w:p w14:paraId="369D659D" w14:textId="77777777" w:rsidR="00C54515" w:rsidRDefault="00000000">
            <w:pPr>
              <w:spacing w:line="360" w:lineRule="auto"/>
              <w:rPr>
                <w:rFonts w:asciiTheme="minorEastAsia" w:hAnsiTheme="minorEastAsia" w:hint="eastAsia"/>
              </w:rPr>
            </w:pPr>
            <w:r>
              <w:rPr>
                <w:rFonts w:asciiTheme="minorEastAsia" w:hAnsiTheme="minorEastAsia" w:hint="eastAsia"/>
              </w:rPr>
              <w:t>A2：公司运营业务合同期限一般为三年期、五年期、八年期等，目前在签订运</w:t>
            </w:r>
            <w:r>
              <w:rPr>
                <w:rFonts w:asciiTheme="minorEastAsia" w:hAnsiTheme="minorEastAsia" w:hint="eastAsia"/>
              </w:rPr>
              <w:lastRenderedPageBreak/>
              <w:t>营业务合同时，公司会与客户约定保底加工量，在设备验收后投入运营，公司订单披露口径为保底加工量为基准计算的合同金额口径，最终实际加工数量可能会高于合同约定的保底加工量。运营业务在运营期内每年都能给公司带来收益。</w:t>
            </w:r>
          </w:p>
          <w:p w14:paraId="4F500E6D" w14:textId="77777777" w:rsidR="00C54515" w:rsidRDefault="00000000">
            <w:pPr>
              <w:spacing w:line="360" w:lineRule="auto"/>
              <w:rPr>
                <w:rFonts w:asciiTheme="minorEastAsia" w:hAnsiTheme="minorEastAsia" w:hint="eastAsia"/>
                <w:b/>
                <w:bCs/>
              </w:rPr>
            </w:pPr>
            <w:r>
              <w:rPr>
                <w:rFonts w:asciiTheme="minorEastAsia" w:hAnsiTheme="minorEastAsia" w:hint="eastAsia"/>
                <w:b/>
                <w:bCs/>
              </w:rPr>
              <w:t>Q3：公司的废旧锂电池回收业务进展如何？是否已有相关收入？</w:t>
            </w:r>
          </w:p>
          <w:p w14:paraId="4D4655FF" w14:textId="77777777" w:rsidR="00C54515" w:rsidRDefault="00000000">
            <w:pPr>
              <w:spacing w:line="360" w:lineRule="auto"/>
              <w:rPr>
                <w:rFonts w:asciiTheme="minorEastAsia" w:hAnsiTheme="minorEastAsia" w:hint="eastAsia"/>
              </w:rPr>
            </w:pPr>
            <w:r>
              <w:rPr>
                <w:rFonts w:asciiTheme="minorEastAsia" w:hAnsiTheme="minorEastAsia" w:hint="eastAsia"/>
              </w:rPr>
              <w:t>A3：2023年下半年，公司开始布局锂电池回收业务，技术路线遵从短流程、低污染、低碳等思想进行创新性技术研发。相关技术主要应用在废旧锂电池预处理环节，充分发挥公司在分选领域的技术优势，采用物理分选方法实现了正负极粉纯化分离，正负极粉含杂量均小于500ppm，为后续的正极与负极修复路线提供了合适的原料。分离后的正极粉不仅适合用于修复，而且可以作为湿法提锂的高品质原料。</w:t>
            </w:r>
            <w:r>
              <w:rPr>
                <w:rFonts w:asciiTheme="minorEastAsia" w:hAnsiTheme="minorEastAsia"/>
              </w:rPr>
              <w:t>目前，锂电池回收技术尚处于</w:t>
            </w:r>
            <w:r>
              <w:rPr>
                <w:rFonts w:asciiTheme="minorEastAsia" w:hAnsiTheme="minorEastAsia" w:hint="eastAsia"/>
              </w:rPr>
              <w:t>研发</w:t>
            </w:r>
            <w:r>
              <w:rPr>
                <w:rFonts w:asciiTheme="minorEastAsia" w:hAnsiTheme="minorEastAsia"/>
              </w:rPr>
              <w:t>投入阶段，暂未形成收入。</w:t>
            </w:r>
          </w:p>
          <w:p w14:paraId="1E5DEEC8" w14:textId="77777777" w:rsidR="00C54515" w:rsidRDefault="00000000">
            <w:pPr>
              <w:spacing w:line="360" w:lineRule="auto"/>
              <w:rPr>
                <w:rFonts w:asciiTheme="minorEastAsia" w:hAnsiTheme="minorEastAsia" w:hint="eastAsia"/>
                <w:b/>
                <w:bCs/>
              </w:rPr>
            </w:pPr>
            <w:r>
              <w:rPr>
                <w:rFonts w:asciiTheme="minorEastAsia" w:hAnsiTheme="minorEastAsia" w:hint="eastAsia"/>
                <w:b/>
                <w:bCs/>
              </w:rPr>
              <w:t>Q4：今年上半年业绩下滑的原因？</w:t>
            </w:r>
          </w:p>
          <w:p w14:paraId="149E2BA7" w14:textId="24994875" w:rsidR="00C54515" w:rsidRDefault="00000000">
            <w:pPr>
              <w:spacing w:line="360" w:lineRule="auto"/>
              <w:rPr>
                <w:rFonts w:asciiTheme="minorEastAsia" w:hAnsiTheme="minorEastAsia" w:hint="eastAsia"/>
              </w:rPr>
            </w:pPr>
            <w:r>
              <w:rPr>
                <w:rFonts w:asciiTheme="minorEastAsia" w:hAnsiTheme="minorEastAsia" w:hint="eastAsia"/>
              </w:rPr>
              <w:t>A4：公司上半年净利润较同期减少2,399.80万元</w:t>
            </w:r>
            <w:r w:rsidR="00DA7227">
              <w:rPr>
                <w:rFonts w:asciiTheme="minorEastAsia" w:hAnsiTheme="minorEastAsia" w:hint="eastAsia"/>
              </w:rPr>
              <w:t>，</w:t>
            </w:r>
            <w:r>
              <w:rPr>
                <w:rFonts w:asciiTheme="minorEastAsia" w:hAnsiTheme="minorEastAsia" w:hint="eastAsia"/>
              </w:rPr>
              <w:t>主要影响因素为以下事项：</w:t>
            </w:r>
          </w:p>
          <w:p w14:paraId="12FD539A" w14:textId="77777777" w:rsidR="00C54515" w:rsidRDefault="00000000">
            <w:pPr>
              <w:spacing w:line="360" w:lineRule="auto"/>
              <w:rPr>
                <w:rFonts w:asciiTheme="minorEastAsia" w:hAnsiTheme="minorEastAsia" w:hint="eastAsia"/>
              </w:rPr>
            </w:pPr>
            <w:r>
              <w:rPr>
                <w:rFonts w:asciiTheme="minorEastAsia" w:hAnsiTheme="minorEastAsia" w:hint="eastAsia"/>
              </w:rPr>
              <w:t>（1）由于受国内外宏观经济、能源结构转型及市场供需关系等多重因素影响，整个煤炭行业已进入深度调整期，面对市场寒冬，公司上半年营业收入同比下降5.91%，毛利润较去年同期减少1,004.01万元；</w:t>
            </w:r>
          </w:p>
          <w:p w14:paraId="1B7CFBB0" w14:textId="77777777" w:rsidR="00C54515" w:rsidRDefault="00000000">
            <w:pPr>
              <w:spacing w:line="360" w:lineRule="auto"/>
              <w:rPr>
                <w:rFonts w:asciiTheme="minorEastAsia" w:hAnsiTheme="minorEastAsia" w:hint="eastAsia"/>
              </w:rPr>
            </w:pPr>
            <w:r>
              <w:rPr>
                <w:rFonts w:asciiTheme="minorEastAsia" w:hAnsiTheme="minorEastAsia" w:hint="eastAsia"/>
              </w:rPr>
              <w:t>（2）受煤炭行业下行及公司业务规模的持续扩大，应收账款持续增加，公司上半年以预期信用损失为基础，对应收账款等金融资产计提预期信用损失，上半年增加1,103.29万元，去年同期因应收账款坏账准备收回或转销，同期发生额为-115.49万元；</w:t>
            </w:r>
          </w:p>
          <w:p w14:paraId="24D04004" w14:textId="77777777" w:rsidR="00C54515" w:rsidRDefault="00000000">
            <w:pPr>
              <w:spacing w:line="360" w:lineRule="auto"/>
              <w:rPr>
                <w:rFonts w:asciiTheme="minorEastAsia" w:hAnsiTheme="minorEastAsia" w:hint="eastAsia"/>
              </w:rPr>
            </w:pPr>
            <w:r>
              <w:rPr>
                <w:rFonts w:asciiTheme="minorEastAsia" w:hAnsiTheme="minorEastAsia" w:hint="eastAsia"/>
              </w:rPr>
              <w:t>（3）公司上半年其他收益（主要系政府补助）较去年同期减少486.48万元。</w:t>
            </w:r>
          </w:p>
          <w:p w14:paraId="6434B251" w14:textId="77777777" w:rsidR="00C54515" w:rsidRDefault="00000000">
            <w:pPr>
              <w:spacing w:line="360" w:lineRule="auto"/>
              <w:rPr>
                <w:rFonts w:asciiTheme="minorEastAsia" w:hAnsiTheme="minorEastAsia" w:hint="eastAsia"/>
                <w:b/>
                <w:bCs/>
              </w:rPr>
            </w:pPr>
            <w:r>
              <w:rPr>
                <w:rFonts w:asciiTheme="minorEastAsia" w:hAnsiTheme="minorEastAsia" w:hint="eastAsia"/>
                <w:b/>
                <w:bCs/>
              </w:rPr>
              <w:t>Q5：请介绍下公司研发的行业AI大模型。</w:t>
            </w:r>
          </w:p>
          <w:p w14:paraId="54A9B799" w14:textId="040EAED0" w:rsidR="00C54515" w:rsidRDefault="00000000">
            <w:pPr>
              <w:spacing w:line="360" w:lineRule="auto"/>
              <w:rPr>
                <w:rFonts w:asciiTheme="minorEastAsia" w:hAnsiTheme="minorEastAsia" w:hint="eastAsia"/>
              </w:rPr>
            </w:pPr>
            <w:r>
              <w:rPr>
                <w:rFonts w:asciiTheme="minorEastAsia" w:hAnsiTheme="minorEastAsia" w:hint="eastAsia"/>
              </w:rPr>
              <w:t>A</w:t>
            </w:r>
            <w:bookmarkStart w:id="0" w:name="OLE_LINK2"/>
            <w:r>
              <w:rPr>
                <w:rFonts w:asciiTheme="minorEastAsia" w:hAnsiTheme="minorEastAsia" w:hint="eastAsia"/>
              </w:rPr>
              <w:t>5：公司推出的“知煤大师”系选煤行业AI大模型，该模型具备对工艺流程、煤质特性、生产管理、安全监控、机电维护等关键领域的深度分析、精准预测与权威解答能力，凭借海量的选煤专业知识储备和行业知识图谱，已成为选煤领域内的专有智慧体。公司积极导入新技术，利用技术领先的开源模型如阿里千问、DeepSeek等持续优化大模型，并建立了完整的Benchmark体系来评估优秀的开源模型，持续训练行业大模型。目前，该产品</w:t>
            </w:r>
            <w:r>
              <w:rPr>
                <w:rFonts w:asciiTheme="minorEastAsia" w:hAnsiTheme="minorEastAsia"/>
              </w:rPr>
              <w:t>已成功</w:t>
            </w:r>
            <w:r>
              <w:rPr>
                <w:rFonts w:asciiTheme="minorEastAsia" w:hAnsiTheme="minorEastAsia" w:hint="eastAsia"/>
              </w:rPr>
              <w:t>取得</w:t>
            </w:r>
            <w:r>
              <w:rPr>
                <w:rFonts w:asciiTheme="minorEastAsia" w:hAnsiTheme="minorEastAsia"/>
              </w:rPr>
              <w:t>项目订单</w:t>
            </w:r>
            <w:r>
              <w:rPr>
                <w:rFonts w:asciiTheme="minorEastAsia" w:hAnsiTheme="minorEastAsia" w:hint="eastAsia"/>
              </w:rPr>
              <w:t>并</w:t>
            </w:r>
            <w:r>
              <w:rPr>
                <w:rFonts w:asciiTheme="minorEastAsia" w:hAnsiTheme="minorEastAsia"/>
              </w:rPr>
              <w:t>落地</w:t>
            </w:r>
            <w:r>
              <w:rPr>
                <w:rFonts w:asciiTheme="minorEastAsia" w:hAnsiTheme="minorEastAsia" w:hint="eastAsia"/>
              </w:rPr>
              <w:t>，为客户创造价值的同时，也推动了行业智能化进程。</w:t>
            </w:r>
            <w:bookmarkEnd w:id="0"/>
            <w:r w:rsidR="00533595">
              <w:rPr>
                <w:rFonts w:asciiTheme="minorEastAsia" w:hAnsiTheme="minorEastAsia" w:hint="eastAsia"/>
              </w:rPr>
              <w:t>截至目前，上述订单预计占营业收入比重较低，暂不会对公司经营情况产生较大影响，请广大投资</w:t>
            </w:r>
            <w:r w:rsidR="00533595">
              <w:rPr>
                <w:rFonts w:asciiTheme="minorEastAsia" w:hAnsiTheme="minorEastAsia" w:hint="eastAsia"/>
              </w:rPr>
              <w:lastRenderedPageBreak/>
              <w:t>者注意投资风险。</w:t>
            </w:r>
          </w:p>
          <w:p w14:paraId="0DF5512F" w14:textId="77777777" w:rsidR="00C54515" w:rsidRDefault="00000000">
            <w:pPr>
              <w:spacing w:line="360" w:lineRule="auto"/>
              <w:rPr>
                <w:rFonts w:asciiTheme="minorEastAsia" w:hAnsiTheme="minorEastAsia" w:hint="eastAsia"/>
                <w:b/>
                <w:bCs/>
              </w:rPr>
            </w:pPr>
            <w:r>
              <w:rPr>
                <w:rFonts w:asciiTheme="minorEastAsia" w:hAnsiTheme="minorEastAsia" w:hint="eastAsia"/>
                <w:b/>
                <w:bCs/>
              </w:rPr>
              <w:t>Q6：公司的竞争优势？</w:t>
            </w:r>
          </w:p>
          <w:p w14:paraId="1738416F" w14:textId="77777777" w:rsidR="00C54515" w:rsidRDefault="00000000">
            <w:pPr>
              <w:spacing w:line="360" w:lineRule="auto"/>
              <w:rPr>
                <w:rFonts w:asciiTheme="minorEastAsia" w:hAnsiTheme="minorEastAsia" w:hint="eastAsia"/>
              </w:rPr>
            </w:pPr>
            <w:r>
              <w:rPr>
                <w:rFonts w:asciiTheme="minorEastAsia" w:hAnsiTheme="minorEastAsia" w:hint="eastAsia"/>
                <w:b/>
                <w:bCs/>
              </w:rPr>
              <w:t>A6:</w:t>
            </w:r>
            <w:r>
              <w:rPr>
                <w:rFonts w:asciiTheme="minorEastAsia" w:hAnsiTheme="minorEastAsia" w:hint="eastAsia"/>
              </w:rPr>
              <w:t>公司目前主要客户为国内的大中型煤炭及矿业生产企业或选矿厂等，公司面向客户提供软硬件结合的智能装备及系统仪器，具有一定的非标准化及定制化特点。与标准化产品相比，定制化产品要求供应商更加深入理解客户的业务需求，更加贴近客户的业务流程，对企业的服务能力提出了较高的要求。公司注重持续自主研发创新，成立至今，研发投入累计超过3亿元，在智能装备业务及智能系统与仪器业务形成多项核心技术，有丰富的技术储备；公司深耕智能装备和智能系统业务多年，对煤炭及矿业等下游行业有深刻的理解和大量优质客户的积累，优秀的产品研发设计能力和对客户需求的把握及服务能力是公司主要竞争优势。同时，富有经验的管理团队和稳定的核心技术人员，为公司后续稳定发展奠定了坚实的基础。</w:t>
            </w:r>
          </w:p>
        </w:tc>
      </w:tr>
      <w:tr w:rsidR="00C54515" w14:paraId="2E4B3F8F" w14:textId="77777777">
        <w:trPr>
          <w:trHeight w:val="450"/>
        </w:trPr>
        <w:tc>
          <w:tcPr>
            <w:tcW w:w="1102" w:type="dxa"/>
            <w:vAlign w:val="center"/>
          </w:tcPr>
          <w:p w14:paraId="10999FA8" w14:textId="77777777" w:rsidR="00C54515" w:rsidRDefault="00000000">
            <w:pPr>
              <w:wordWrap w:val="0"/>
              <w:topLinePunct/>
              <w:jc w:val="center"/>
              <w:rPr>
                <w:rFonts w:ascii="宋体" w:eastAsia="宋体" w:hAnsi="宋体" w:cs="宋体" w:hint="eastAsia"/>
                <w:b/>
                <w:bCs/>
                <w:szCs w:val="21"/>
              </w:rPr>
            </w:pPr>
            <w:r>
              <w:rPr>
                <w:rFonts w:ascii="宋体" w:eastAsia="宋体" w:hAnsi="宋体" w:cs="宋体" w:hint="eastAsia"/>
                <w:b/>
                <w:bCs/>
                <w:szCs w:val="21"/>
              </w:rPr>
              <w:lastRenderedPageBreak/>
              <w:t>附件清单</w:t>
            </w:r>
          </w:p>
        </w:tc>
        <w:tc>
          <w:tcPr>
            <w:tcW w:w="7370" w:type="dxa"/>
            <w:vAlign w:val="center"/>
          </w:tcPr>
          <w:p w14:paraId="708EB88F" w14:textId="77777777" w:rsidR="00C54515" w:rsidRDefault="00000000">
            <w:pPr>
              <w:wordWrap w:val="0"/>
              <w:topLinePunct/>
              <w:rPr>
                <w:rFonts w:ascii="宋体" w:eastAsia="宋体" w:hAnsi="宋体" w:cs="宋体" w:hint="eastAsia"/>
                <w:szCs w:val="21"/>
              </w:rPr>
            </w:pPr>
            <w:r>
              <w:rPr>
                <w:rFonts w:ascii="宋体" w:eastAsia="宋体" w:hAnsi="宋体" w:cs="宋体" w:hint="eastAsia"/>
                <w:szCs w:val="21"/>
              </w:rPr>
              <w:t>无</w:t>
            </w:r>
          </w:p>
        </w:tc>
      </w:tr>
      <w:tr w:rsidR="00C54515" w14:paraId="7EA3EA68" w14:textId="77777777">
        <w:trPr>
          <w:trHeight w:val="555"/>
        </w:trPr>
        <w:tc>
          <w:tcPr>
            <w:tcW w:w="1102" w:type="dxa"/>
            <w:vAlign w:val="center"/>
          </w:tcPr>
          <w:p w14:paraId="17D2234C" w14:textId="77777777" w:rsidR="00C54515" w:rsidRDefault="00000000">
            <w:pPr>
              <w:wordWrap w:val="0"/>
              <w:topLinePunct/>
              <w:jc w:val="center"/>
              <w:rPr>
                <w:rFonts w:ascii="宋体" w:eastAsia="宋体" w:hAnsi="宋体" w:cs="宋体" w:hint="eastAsia"/>
                <w:b/>
                <w:bCs/>
                <w:szCs w:val="21"/>
              </w:rPr>
            </w:pPr>
            <w:r>
              <w:rPr>
                <w:rFonts w:ascii="宋体" w:eastAsia="宋体" w:hAnsi="宋体" w:cs="宋体" w:hint="eastAsia"/>
                <w:b/>
                <w:bCs/>
                <w:szCs w:val="21"/>
              </w:rPr>
              <w:t>日期</w:t>
            </w:r>
          </w:p>
        </w:tc>
        <w:tc>
          <w:tcPr>
            <w:tcW w:w="7370" w:type="dxa"/>
            <w:vAlign w:val="center"/>
          </w:tcPr>
          <w:p w14:paraId="73A0E5FC" w14:textId="77777777" w:rsidR="00C54515" w:rsidRDefault="00000000">
            <w:pPr>
              <w:wordWrap w:val="0"/>
              <w:topLinePunct/>
              <w:rPr>
                <w:rFonts w:ascii="宋体" w:eastAsia="宋体" w:hAnsi="宋体" w:cs="宋体" w:hint="eastAsia"/>
                <w:szCs w:val="21"/>
              </w:rPr>
            </w:pPr>
            <w:r>
              <w:rPr>
                <w:rFonts w:ascii="宋体" w:eastAsia="宋体" w:hAnsi="宋体" w:cs="宋体" w:hint="eastAsia"/>
                <w:szCs w:val="21"/>
              </w:rPr>
              <w:t>2025年9月25日</w:t>
            </w:r>
          </w:p>
        </w:tc>
      </w:tr>
      <w:tr w:rsidR="00C54515" w14:paraId="47FD1134" w14:textId="77777777">
        <w:trPr>
          <w:trHeight w:val="1374"/>
        </w:trPr>
        <w:tc>
          <w:tcPr>
            <w:tcW w:w="1102" w:type="dxa"/>
            <w:vAlign w:val="center"/>
          </w:tcPr>
          <w:p w14:paraId="71648D57" w14:textId="77777777" w:rsidR="00C54515" w:rsidRDefault="00000000">
            <w:pPr>
              <w:wordWrap w:val="0"/>
              <w:topLinePunct/>
              <w:jc w:val="center"/>
              <w:rPr>
                <w:rFonts w:ascii="宋体" w:eastAsia="宋体" w:hAnsi="宋体" w:cs="宋体" w:hint="eastAsia"/>
                <w:b/>
                <w:bCs/>
                <w:szCs w:val="21"/>
              </w:rPr>
            </w:pPr>
            <w:r>
              <w:rPr>
                <w:rFonts w:ascii="宋体" w:eastAsia="宋体" w:hAnsi="宋体" w:cs="宋体" w:hint="eastAsia"/>
                <w:b/>
                <w:bCs/>
                <w:szCs w:val="21"/>
              </w:rPr>
              <w:t>备注</w:t>
            </w:r>
          </w:p>
        </w:tc>
        <w:tc>
          <w:tcPr>
            <w:tcW w:w="7370" w:type="dxa"/>
            <w:vAlign w:val="center"/>
          </w:tcPr>
          <w:p w14:paraId="398F42A9" w14:textId="77777777" w:rsidR="00C54515" w:rsidRDefault="00000000">
            <w:pPr>
              <w:wordWrap w:val="0"/>
              <w:topLinePunct/>
              <w:rPr>
                <w:rFonts w:ascii="宋体" w:eastAsia="宋体" w:hAnsi="宋体" w:cs="宋体" w:hint="eastAsia"/>
                <w:szCs w:val="21"/>
              </w:rPr>
            </w:pPr>
            <w:r>
              <w:rPr>
                <w:rFonts w:ascii="宋体" w:eastAsia="宋体" w:hAnsi="宋体" w:cs="宋体" w:hint="eastAsia"/>
                <w:szCs w:val="21"/>
              </w:rPr>
              <w:t>公司与投资者进行了充分的交流与沟通，并严格按照公司《信息披露管理制度》等规定，保证信息披露的真实、准确、完整、及时、公平，没有出现未公开重大信息披露等情况。</w:t>
            </w:r>
          </w:p>
        </w:tc>
      </w:tr>
    </w:tbl>
    <w:p w14:paraId="5289E07D" w14:textId="77777777" w:rsidR="00C54515" w:rsidRDefault="00C54515">
      <w:pPr>
        <w:rPr>
          <w:rFonts w:ascii="宋体" w:eastAsia="宋体" w:hAnsi="宋体" w:cs="宋体" w:hint="eastAsia"/>
          <w:sz w:val="24"/>
        </w:rPr>
      </w:pPr>
    </w:p>
    <w:sectPr w:rsidR="00C54515">
      <w:headerReference w:type="default" r:id="rId7"/>
      <w:footerReference w:type="default" r:id="rId8"/>
      <w:pgSz w:w="11906" w:h="16838"/>
      <w:pgMar w:top="1361" w:right="1797" w:bottom="1361"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EC03A7" w14:textId="77777777" w:rsidR="001F4169" w:rsidRDefault="001F4169">
      <w:r>
        <w:separator/>
      </w:r>
    </w:p>
  </w:endnote>
  <w:endnote w:type="continuationSeparator" w:id="0">
    <w:p w14:paraId="2B883DD0" w14:textId="77777777" w:rsidR="001F4169" w:rsidRDefault="001F4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E6AF6" w14:textId="77777777" w:rsidR="00C54515" w:rsidRDefault="00000000">
    <w:pPr>
      <w:pStyle w:val="a7"/>
      <w:tabs>
        <w:tab w:val="clear" w:pos="4153"/>
        <w:tab w:val="clear" w:pos="8306"/>
        <w:tab w:val="center" w:pos="4156"/>
      </w:tabs>
    </w:pPr>
    <w:r>
      <w:rPr>
        <w:noProof/>
      </w:rPr>
      <mc:AlternateContent>
        <mc:Choice Requires="wps">
          <w:drawing>
            <wp:anchor distT="0" distB="0" distL="114300" distR="114300" simplePos="0" relativeHeight="251659264" behindDoc="0" locked="0" layoutInCell="1" allowOverlap="1" wp14:anchorId="390F1648" wp14:editId="12D69DE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36875777"/>
                          </w:sdtPr>
                          <w:sdtContent>
                            <w:p w14:paraId="4E736C6C" w14:textId="77777777" w:rsidR="00C54515" w:rsidRDefault="00000000">
                              <w:pPr>
                                <w:pStyle w:val="a7"/>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sidR="00C54515">
                                  <w:t>4</w:t>
                                </w:r>
                              </w:fldSimple>
                              <w:r>
                                <w:rPr>
                                  <w:rFonts w:hint="eastAsia"/>
                                </w:rPr>
                                <w:t xml:space="preserve"> </w:t>
                              </w:r>
                              <w:r>
                                <w:rPr>
                                  <w:rFonts w:hint="eastAsia"/>
                                </w:rPr>
                                <w:t>页</w:t>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90F1648"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sdt>
                    <w:sdtPr>
                      <w:id w:val="-1136875777"/>
                    </w:sdtPr>
                    <w:sdtContent>
                      <w:p w14:paraId="4E736C6C" w14:textId="77777777" w:rsidR="00C54515" w:rsidRDefault="00000000">
                        <w:pPr>
                          <w:pStyle w:val="a7"/>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sidR="00C54515">
                            <w:t>4</w:t>
                          </w:r>
                        </w:fldSimple>
                        <w:r>
                          <w:rPr>
                            <w:rFonts w:hint="eastAsia"/>
                          </w:rPr>
                          <w:t xml:space="preserve"> </w:t>
                        </w:r>
                        <w:r>
                          <w:rPr>
                            <w:rFonts w:hint="eastAsia"/>
                          </w:rPr>
                          <w:t>页</w:t>
                        </w:r>
                      </w:p>
                    </w:sdtContent>
                  </w:sdt>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87D73" w14:textId="77777777" w:rsidR="001F4169" w:rsidRDefault="001F4169">
      <w:r>
        <w:separator/>
      </w:r>
    </w:p>
  </w:footnote>
  <w:footnote w:type="continuationSeparator" w:id="0">
    <w:p w14:paraId="226858AC" w14:textId="77777777" w:rsidR="001F4169" w:rsidRDefault="001F41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A4FD2" w14:textId="77777777" w:rsidR="00C54515" w:rsidRDefault="00000000">
    <w:pPr>
      <w:jc w:val="distribute"/>
      <w:rPr>
        <w:rFonts w:ascii="Times New Roman" w:eastAsia="宋体" w:hAnsi="Times New Roman" w:cs="宋体"/>
        <w:szCs w:val="21"/>
      </w:rPr>
    </w:pPr>
    <w:r>
      <w:rPr>
        <w:rFonts w:ascii="Times New Roman" w:eastAsia="宋体" w:hAnsi="Times New Roman" w:cs="宋体" w:hint="eastAsia"/>
        <w:szCs w:val="21"/>
      </w:rPr>
      <w:t>证券代码：</w:t>
    </w:r>
    <w:r>
      <w:rPr>
        <w:rFonts w:ascii="Times New Roman" w:eastAsia="宋体" w:hAnsi="Times New Roman" w:cs="宋体" w:hint="eastAsia"/>
        <w:szCs w:val="21"/>
      </w:rPr>
      <w:t xml:space="preserve">688420                                       </w:t>
    </w:r>
    <w:r>
      <w:rPr>
        <w:rFonts w:ascii="Times New Roman" w:eastAsia="宋体" w:hAnsi="Times New Roman" w:cs="宋体" w:hint="eastAsia"/>
        <w:szCs w:val="21"/>
      </w:rPr>
      <w:t>证券简称：美腾科技</w:t>
    </w:r>
  </w:p>
  <w:p w14:paraId="576507C0" w14:textId="77777777" w:rsidR="00C54515" w:rsidRDefault="00C54515">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EyYmI1OWFhM2RkYjUwYzg2N2MyYTI4OTFhMzBiNTQifQ=="/>
  </w:docVars>
  <w:rsids>
    <w:rsidRoot w:val="6AC1576E"/>
    <w:rsid w:val="0000657A"/>
    <w:rsid w:val="00017ABF"/>
    <w:rsid w:val="00033E70"/>
    <w:rsid w:val="00044509"/>
    <w:rsid w:val="000454EF"/>
    <w:rsid w:val="00063163"/>
    <w:rsid w:val="00087F25"/>
    <w:rsid w:val="000902DF"/>
    <w:rsid w:val="000958B8"/>
    <w:rsid w:val="000A2EC5"/>
    <w:rsid w:val="000B0177"/>
    <w:rsid w:val="000B23DE"/>
    <w:rsid w:val="000D4BD1"/>
    <w:rsid w:val="000E02A4"/>
    <w:rsid w:val="000E3063"/>
    <w:rsid w:val="0013159A"/>
    <w:rsid w:val="00151F20"/>
    <w:rsid w:val="00154202"/>
    <w:rsid w:val="00171BB5"/>
    <w:rsid w:val="001A68E7"/>
    <w:rsid w:val="001E1195"/>
    <w:rsid w:val="001E4784"/>
    <w:rsid w:val="001F4169"/>
    <w:rsid w:val="0024599E"/>
    <w:rsid w:val="00255CCE"/>
    <w:rsid w:val="0026746B"/>
    <w:rsid w:val="002D2F8A"/>
    <w:rsid w:val="00300CF8"/>
    <w:rsid w:val="00325FCC"/>
    <w:rsid w:val="003268B8"/>
    <w:rsid w:val="00342211"/>
    <w:rsid w:val="003871B3"/>
    <w:rsid w:val="003920D9"/>
    <w:rsid w:val="0039656C"/>
    <w:rsid w:val="003B2919"/>
    <w:rsid w:val="003F54F6"/>
    <w:rsid w:val="0041405D"/>
    <w:rsid w:val="00422E89"/>
    <w:rsid w:val="004255DF"/>
    <w:rsid w:val="00433CB0"/>
    <w:rsid w:val="00435795"/>
    <w:rsid w:val="0043687E"/>
    <w:rsid w:val="004408A9"/>
    <w:rsid w:val="0045188C"/>
    <w:rsid w:val="004559D4"/>
    <w:rsid w:val="004E587C"/>
    <w:rsid w:val="004F630C"/>
    <w:rsid w:val="00520A7F"/>
    <w:rsid w:val="005239DA"/>
    <w:rsid w:val="00523EE6"/>
    <w:rsid w:val="00526806"/>
    <w:rsid w:val="0053006D"/>
    <w:rsid w:val="00533595"/>
    <w:rsid w:val="00541984"/>
    <w:rsid w:val="00581B10"/>
    <w:rsid w:val="00586A33"/>
    <w:rsid w:val="005A1F42"/>
    <w:rsid w:val="005A31F7"/>
    <w:rsid w:val="005A635C"/>
    <w:rsid w:val="005B13E7"/>
    <w:rsid w:val="005B1F10"/>
    <w:rsid w:val="005B7C5A"/>
    <w:rsid w:val="005C628B"/>
    <w:rsid w:val="005D60A6"/>
    <w:rsid w:val="005D63DB"/>
    <w:rsid w:val="005E453D"/>
    <w:rsid w:val="00610236"/>
    <w:rsid w:val="00621778"/>
    <w:rsid w:val="00634D65"/>
    <w:rsid w:val="006423F0"/>
    <w:rsid w:val="00647485"/>
    <w:rsid w:val="006519F6"/>
    <w:rsid w:val="00674635"/>
    <w:rsid w:val="006769B5"/>
    <w:rsid w:val="006A23A6"/>
    <w:rsid w:val="006D7E5A"/>
    <w:rsid w:val="006F6C43"/>
    <w:rsid w:val="007269AF"/>
    <w:rsid w:val="007572FF"/>
    <w:rsid w:val="007677D0"/>
    <w:rsid w:val="00787E3A"/>
    <w:rsid w:val="007A7B52"/>
    <w:rsid w:val="007B19A7"/>
    <w:rsid w:val="007C045A"/>
    <w:rsid w:val="007C25D5"/>
    <w:rsid w:val="007F2EDB"/>
    <w:rsid w:val="007F392B"/>
    <w:rsid w:val="00801652"/>
    <w:rsid w:val="00814418"/>
    <w:rsid w:val="00816DA4"/>
    <w:rsid w:val="00826EF1"/>
    <w:rsid w:val="008273A5"/>
    <w:rsid w:val="0082768B"/>
    <w:rsid w:val="00830326"/>
    <w:rsid w:val="0083162D"/>
    <w:rsid w:val="00834568"/>
    <w:rsid w:val="00841B25"/>
    <w:rsid w:val="00846520"/>
    <w:rsid w:val="00853147"/>
    <w:rsid w:val="00867575"/>
    <w:rsid w:val="00870F04"/>
    <w:rsid w:val="0087107D"/>
    <w:rsid w:val="00875166"/>
    <w:rsid w:val="00897280"/>
    <w:rsid w:val="0089760B"/>
    <w:rsid w:val="008A3D90"/>
    <w:rsid w:val="008B2850"/>
    <w:rsid w:val="008B2E0A"/>
    <w:rsid w:val="008C55B6"/>
    <w:rsid w:val="008D0008"/>
    <w:rsid w:val="008D5351"/>
    <w:rsid w:val="008E0D8D"/>
    <w:rsid w:val="00901C82"/>
    <w:rsid w:val="00922B4E"/>
    <w:rsid w:val="00954B22"/>
    <w:rsid w:val="00960B62"/>
    <w:rsid w:val="00961829"/>
    <w:rsid w:val="009B7DB1"/>
    <w:rsid w:val="009F53B4"/>
    <w:rsid w:val="00A016AF"/>
    <w:rsid w:val="00A129C7"/>
    <w:rsid w:val="00A13246"/>
    <w:rsid w:val="00A314FD"/>
    <w:rsid w:val="00A43D7D"/>
    <w:rsid w:val="00A43E6C"/>
    <w:rsid w:val="00A4430A"/>
    <w:rsid w:val="00A67B3A"/>
    <w:rsid w:val="00A71752"/>
    <w:rsid w:val="00A84C1D"/>
    <w:rsid w:val="00AC4E5F"/>
    <w:rsid w:val="00AC58CD"/>
    <w:rsid w:val="00AD11B2"/>
    <w:rsid w:val="00AF6D4D"/>
    <w:rsid w:val="00B41030"/>
    <w:rsid w:val="00B413E5"/>
    <w:rsid w:val="00B67292"/>
    <w:rsid w:val="00B74846"/>
    <w:rsid w:val="00B903A1"/>
    <w:rsid w:val="00B97D70"/>
    <w:rsid w:val="00BA6D61"/>
    <w:rsid w:val="00BA74AA"/>
    <w:rsid w:val="00BD2925"/>
    <w:rsid w:val="00BE3F25"/>
    <w:rsid w:val="00BF75C4"/>
    <w:rsid w:val="00C000CB"/>
    <w:rsid w:val="00C0372B"/>
    <w:rsid w:val="00C04606"/>
    <w:rsid w:val="00C34ECB"/>
    <w:rsid w:val="00C415D0"/>
    <w:rsid w:val="00C43EA2"/>
    <w:rsid w:val="00C44C8A"/>
    <w:rsid w:val="00C51B88"/>
    <w:rsid w:val="00C54515"/>
    <w:rsid w:val="00C80489"/>
    <w:rsid w:val="00C840BF"/>
    <w:rsid w:val="00C93E94"/>
    <w:rsid w:val="00C9673E"/>
    <w:rsid w:val="00CA7C67"/>
    <w:rsid w:val="00CC7C3F"/>
    <w:rsid w:val="00CE7F52"/>
    <w:rsid w:val="00D131F5"/>
    <w:rsid w:val="00D24E01"/>
    <w:rsid w:val="00D34A6B"/>
    <w:rsid w:val="00D51FD9"/>
    <w:rsid w:val="00D579B8"/>
    <w:rsid w:val="00D610CB"/>
    <w:rsid w:val="00D8136F"/>
    <w:rsid w:val="00DA7227"/>
    <w:rsid w:val="00DC4B23"/>
    <w:rsid w:val="00DE51FC"/>
    <w:rsid w:val="00DE5D4C"/>
    <w:rsid w:val="00DF16C8"/>
    <w:rsid w:val="00DF3401"/>
    <w:rsid w:val="00E256E5"/>
    <w:rsid w:val="00E26FB6"/>
    <w:rsid w:val="00E56ADE"/>
    <w:rsid w:val="00E62D20"/>
    <w:rsid w:val="00E673E0"/>
    <w:rsid w:val="00E761EC"/>
    <w:rsid w:val="00E93332"/>
    <w:rsid w:val="00E9754D"/>
    <w:rsid w:val="00EA4E78"/>
    <w:rsid w:val="00EC08A7"/>
    <w:rsid w:val="00EC4F72"/>
    <w:rsid w:val="00ED3E4E"/>
    <w:rsid w:val="00EE4C33"/>
    <w:rsid w:val="00EF62ED"/>
    <w:rsid w:val="00F052AC"/>
    <w:rsid w:val="00F06490"/>
    <w:rsid w:val="00F067D8"/>
    <w:rsid w:val="00F4235A"/>
    <w:rsid w:val="00F66EF1"/>
    <w:rsid w:val="00FD3080"/>
    <w:rsid w:val="00FD47EF"/>
    <w:rsid w:val="00FD58AC"/>
    <w:rsid w:val="00FE450B"/>
    <w:rsid w:val="00FE7C36"/>
    <w:rsid w:val="0576341B"/>
    <w:rsid w:val="082609BC"/>
    <w:rsid w:val="16E76354"/>
    <w:rsid w:val="1D61352C"/>
    <w:rsid w:val="21E819AE"/>
    <w:rsid w:val="25801AC3"/>
    <w:rsid w:val="25970151"/>
    <w:rsid w:val="283F090E"/>
    <w:rsid w:val="2C3B19B2"/>
    <w:rsid w:val="3599471C"/>
    <w:rsid w:val="3D2C0875"/>
    <w:rsid w:val="3EC407F0"/>
    <w:rsid w:val="45427A17"/>
    <w:rsid w:val="47190850"/>
    <w:rsid w:val="4D077BC8"/>
    <w:rsid w:val="50706ABC"/>
    <w:rsid w:val="51EF0845"/>
    <w:rsid w:val="59466CC8"/>
    <w:rsid w:val="5A63604A"/>
    <w:rsid w:val="5ABD56B1"/>
    <w:rsid w:val="603F0141"/>
    <w:rsid w:val="699D4A74"/>
    <w:rsid w:val="6AC1576E"/>
    <w:rsid w:val="6BA16D20"/>
    <w:rsid w:val="6BF223C4"/>
    <w:rsid w:val="6D216903"/>
    <w:rsid w:val="780B4948"/>
    <w:rsid w:val="7A7F272C"/>
    <w:rsid w:val="7D2F2D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60D23A"/>
  <w15:docId w15:val="{1780350D-B995-47F1-8009-CE1C913D5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uiPriority="99" w:unhideWhenUsed="1"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paragraph" w:styleId="aa">
    <w:name w:val="Normal (Web)"/>
    <w:basedOn w:val="a"/>
    <w:rPr>
      <w:rFonts w:ascii="Times New Roman" w:hAnsi="Times New Roman" w:cs="Times New Roman"/>
      <w:sz w:val="24"/>
    </w:rPr>
  </w:style>
  <w:style w:type="paragraph" w:styleId="ab">
    <w:name w:val="annotation subject"/>
    <w:basedOn w:val="a3"/>
    <w:next w:val="a3"/>
    <w:link w:val="ac"/>
    <w:qFormat/>
    <w:rPr>
      <w:b/>
      <w:bCs/>
    </w:rPr>
  </w:style>
  <w:style w:type="table" w:styleId="ad">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qFormat/>
    <w:rPr>
      <w:color w:val="0563C1" w:themeColor="hyperlink"/>
      <w:u w:val="single"/>
    </w:rPr>
  </w:style>
  <w:style w:type="character" w:styleId="af">
    <w:name w:val="annotation reference"/>
    <w:basedOn w:val="a0"/>
    <w:qFormat/>
    <w:rPr>
      <w:sz w:val="21"/>
      <w:szCs w:val="21"/>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c">
    <w:name w:val="批注主题 字符"/>
    <w:basedOn w:val="a4"/>
    <w:link w:val="ab"/>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rPr>
  </w:style>
  <w:style w:type="paragraph" w:customStyle="1" w:styleId="2">
    <w:name w:val="修订2"/>
    <w:hidden/>
    <w:uiPriority w:val="99"/>
    <w:semiHidden/>
    <w:qFormat/>
    <w:rPr>
      <w:rFonts w:asciiTheme="minorHAnsi" w:eastAsiaTheme="minorEastAsia" w:hAnsiTheme="minorHAnsi" w:cstheme="minorBidi"/>
      <w:kern w:val="2"/>
      <w:sz w:val="21"/>
      <w:szCs w:val="24"/>
    </w:rPr>
  </w:style>
  <w:style w:type="character" w:customStyle="1" w:styleId="a6">
    <w:name w:val="批注框文本 字符"/>
    <w:basedOn w:val="a0"/>
    <w:link w:val="a5"/>
    <w:qFormat/>
    <w:rPr>
      <w:rFonts w:asciiTheme="minorHAnsi" w:eastAsiaTheme="minorEastAsia" w:hAnsiTheme="minorHAnsi" w:cstheme="minorBidi"/>
      <w:kern w:val="2"/>
      <w:sz w:val="18"/>
      <w:szCs w:val="18"/>
    </w:rPr>
  </w:style>
  <w:style w:type="character" w:customStyle="1" w:styleId="a8">
    <w:name w:val="页脚 字符"/>
    <w:basedOn w:val="a0"/>
    <w:link w:val="a7"/>
    <w:uiPriority w:val="99"/>
    <w:qFormat/>
    <w:rPr>
      <w:rFonts w:asciiTheme="minorHAnsi" w:eastAsiaTheme="minorEastAsia" w:hAnsiTheme="minorHAnsi" w:cstheme="minorBidi"/>
      <w:kern w:val="2"/>
      <w:sz w:val="18"/>
      <w:szCs w:val="24"/>
    </w:rPr>
  </w:style>
  <w:style w:type="character" w:customStyle="1" w:styleId="HTML0">
    <w:name w:val="HTML 预设格式 字符"/>
    <w:basedOn w:val="a0"/>
    <w:link w:val="HTML"/>
    <w:uiPriority w:val="99"/>
    <w:qFormat/>
    <w:rPr>
      <w:rFonts w:ascii="宋体" w:hAnsi="宋体" w:cs="宋体"/>
      <w:sz w:val="24"/>
      <w:szCs w:val="24"/>
    </w:rPr>
  </w:style>
  <w:style w:type="character" w:customStyle="1" w:styleId="10">
    <w:name w:val="未处理的提及1"/>
    <w:basedOn w:val="a0"/>
    <w:uiPriority w:val="99"/>
    <w:semiHidden/>
    <w:unhideWhenUsed/>
    <w:qFormat/>
    <w:rPr>
      <w:color w:val="605E5C"/>
      <w:shd w:val="clear" w:color="auto" w:fill="E1DFDD"/>
    </w:rPr>
  </w:style>
  <w:style w:type="paragraph" w:customStyle="1" w:styleId="3">
    <w:name w:val="修订3"/>
    <w:hidden/>
    <w:uiPriority w:val="99"/>
    <w:unhideWhenUsed/>
    <w:qFormat/>
    <w:rPr>
      <w:rFonts w:asciiTheme="minorHAnsi" w:eastAsiaTheme="minorEastAsia" w:hAnsiTheme="minorHAnsi" w:cstheme="minorBidi"/>
      <w:kern w:val="2"/>
      <w:sz w:val="21"/>
      <w:szCs w:val="24"/>
    </w:rPr>
  </w:style>
  <w:style w:type="paragraph" w:customStyle="1" w:styleId="4">
    <w:name w:val="修订4"/>
    <w:hidden/>
    <w:uiPriority w:val="99"/>
    <w:unhideWhenUsed/>
    <w:qFormat/>
    <w:rPr>
      <w:rFonts w:asciiTheme="minorHAnsi" w:eastAsiaTheme="minorEastAsia" w:hAnsiTheme="minorHAnsi" w:cstheme="minorBidi"/>
      <w:kern w:val="2"/>
      <w:sz w:val="21"/>
      <w:szCs w:val="24"/>
    </w:rPr>
  </w:style>
  <w:style w:type="paragraph" w:customStyle="1" w:styleId="5">
    <w:name w:val="修订5"/>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471</TotalTime>
  <Pages>3</Pages>
  <Words>312</Words>
  <Characters>1783</Characters>
  <Application>Microsoft Office Word</Application>
  <DocSecurity>0</DocSecurity>
  <Lines>14</Lines>
  <Paragraphs>4</Paragraphs>
  <ScaleCrop>false</ScaleCrop>
  <Company/>
  <LinksUpToDate>false</LinksUpToDate>
  <CharactersWithSpaces>2091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董咚咚</dc:creator>
  <cp:lastModifiedBy>李薇</cp:lastModifiedBy>
  <cp:revision>50</cp:revision>
  <cp:lastPrinted>2023-01-12T08:57:00Z</cp:lastPrinted>
  <dcterms:created xsi:type="dcterms:W3CDTF">2023-11-02T07:12:00Z</dcterms:created>
  <dcterms:modified xsi:type="dcterms:W3CDTF">2025-09-26T05:28:00Z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6E84592908054532A2CD45B7DCF1BAEA_13</vt:lpwstr>
  </property>
</Properties>
</file>