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092EED">
      <w:pPr>
        <w:spacing w:after="156" w:afterLines="50" w:line="400" w:lineRule="exact"/>
        <w:rPr>
          <w:bCs/>
          <w:iCs/>
          <w:color w:val="000000"/>
          <w:sz w:val="24"/>
        </w:rPr>
      </w:pPr>
      <w:r>
        <w:rPr>
          <w:rFonts w:hAnsi="宋体"/>
          <w:bCs/>
          <w:iCs/>
          <w:color w:val="000000"/>
          <w:sz w:val="24"/>
        </w:rPr>
        <w:t>证券代码：</w:t>
      </w:r>
      <w:r>
        <w:rPr>
          <w:bCs/>
          <w:iCs/>
          <w:color w:val="000000"/>
          <w:sz w:val="24"/>
        </w:rPr>
        <w:t xml:space="preserve"> </w:t>
      </w:r>
      <w:r>
        <w:rPr>
          <w:color w:val="000000"/>
          <w:sz w:val="24"/>
        </w:rPr>
        <w:t xml:space="preserve">600018                         </w:t>
      </w:r>
      <w:r>
        <w:rPr>
          <w:rFonts w:hint="eastAsia"/>
          <w:color w:val="000000"/>
          <w:sz w:val="24"/>
        </w:rPr>
        <w:t xml:space="preserve">    </w:t>
      </w:r>
      <w:r>
        <w:rPr>
          <w:color w:val="000000"/>
          <w:sz w:val="24"/>
        </w:rPr>
        <w:t xml:space="preserve">    </w:t>
      </w:r>
      <w:r>
        <w:rPr>
          <w:rFonts w:hAnsi="宋体"/>
          <w:bCs/>
          <w:iCs/>
          <w:color w:val="000000"/>
          <w:sz w:val="24"/>
        </w:rPr>
        <w:t>证券简称：</w:t>
      </w:r>
      <w:r>
        <w:rPr>
          <w:color w:val="000000"/>
          <w:sz w:val="24"/>
        </w:rPr>
        <w:t>上港集团</w:t>
      </w:r>
    </w:p>
    <w:p w14:paraId="6281D3B7">
      <w:pPr>
        <w:spacing w:line="400" w:lineRule="exact"/>
        <w:jc w:val="center"/>
        <w:rPr>
          <w:rFonts w:hint="eastAsia" w:ascii="宋体" w:hAnsi="宋体"/>
          <w:b/>
          <w:bCs/>
          <w:iCs/>
          <w:color w:val="000000"/>
          <w:sz w:val="32"/>
          <w:szCs w:val="32"/>
        </w:rPr>
      </w:pPr>
      <w:r>
        <w:rPr>
          <w:rFonts w:ascii="宋体" w:hAnsi="宋体"/>
          <w:b/>
          <w:bCs/>
          <w:iCs/>
          <w:color w:val="000000"/>
          <w:sz w:val="32"/>
          <w:szCs w:val="32"/>
        </w:rPr>
        <w:t>上海国际港务(集团)股份有限公司</w:t>
      </w:r>
    </w:p>
    <w:p w14:paraId="326B581B">
      <w:pPr>
        <w:spacing w:line="400" w:lineRule="exact"/>
        <w:jc w:val="center"/>
        <w:rPr>
          <w:rFonts w:ascii="宋体" w:hAnsi="宋体"/>
          <w:b/>
          <w:bCs/>
          <w:iCs/>
          <w:color w:val="000000"/>
          <w:sz w:val="32"/>
          <w:szCs w:val="32"/>
        </w:rPr>
      </w:pPr>
      <w:r>
        <w:rPr>
          <w:rFonts w:hint="eastAsia" w:ascii="宋体" w:hAnsi="宋体"/>
          <w:b/>
          <w:bCs/>
          <w:iCs/>
          <w:color w:val="000000"/>
          <w:sz w:val="32"/>
          <w:szCs w:val="32"/>
        </w:rPr>
        <w:t>投资者关系活动记录表</w:t>
      </w:r>
    </w:p>
    <w:p w14:paraId="4D963E4C">
      <w:pPr>
        <w:spacing w:line="400" w:lineRule="exact"/>
        <w:rPr>
          <w:bCs/>
          <w:iCs/>
          <w:color w:val="000000"/>
          <w:sz w:val="24"/>
        </w:rPr>
      </w:pPr>
      <w:r>
        <w:rPr>
          <w:rFonts w:hint="eastAsia" w:ascii="宋体" w:hAnsi="宋体"/>
          <w:bCs/>
          <w:iCs/>
          <w:color w:val="000000"/>
          <w:sz w:val="24"/>
        </w:rPr>
        <w:t xml:space="preserve">                                                     </w:t>
      </w:r>
    </w:p>
    <w:tbl>
      <w:tblPr>
        <w:tblStyle w:val="6"/>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7229"/>
      </w:tblGrid>
      <w:tr w14:paraId="1EB43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center"/>
          </w:tcPr>
          <w:p w14:paraId="0A2999E9">
            <w:pPr>
              <w:spacing w:line="420" w:lineRule="exact"/>
              <w:rPr>
                <w:rFonts w:asciiTheme="minorEastAsia" w:hAnsiTheme="minorEastAsia" w:eastAsiaTheme="minorEastAsia"/>
                <w:bCs/>
                <w:iCs/>
                <w:color w:val="000000"/>
                <w:kern w:val="0"/>
                <w:sz w:val="24"/>
              </w:rPr>
            </w:pPr>
            <w:r>
              <w:rPr>
                <w:rFonts w:asciiTheme="minorEastAsia" w:hAnsiTheme="minorEastAsia" w:eastAsiaTheme="minorEastAsia"/>
                <w:bCs/>
                <w:iCs/>
                <w:color w:val="000000"/>
                <w:kern w:val="0"/>
                <w:sz w:val="24"/>
              </w:rPr>
              <w:t>投资者关系活动类别</w:t>
            </w:r>
          </w:p>
          <w:p w14:paraId="28327DB7">
            <w:pPr>
              <w:spacing w:line="420" w:lineRule="exact"/>
              <w:rPr>
                <w:rFonts w:asciiTheme="minorEastAsia" w:hAnsiTheme="minorEastAsia" w:eastAsiaTheme="minorEastAsia"/>
                <w:bCs/>
                <w:iCs/>
                <w:color w:val="000000"/>
                <w:sz w:val="24"/>
              </w:rPr>
            </w:pPr>
          </w:p>
        </w:tc>
        <w:tc>
          <w:tcPr>
            <w:tcW w:w="7229" w:type="dxa"/>
            <w:tcBorders>
              <w:top w:val="single" w:color="auto" w:sz="4" w:space="0"/>
              <w:left w:val="single" w:color="auto" w:sz="4" w:space="0"/>
              <w:bottom w:val="single" w:color="auto" w:sz="4" w:space="0"/>
              <w:right w:val="single" w:color="auto" w:sz="4" w:space="0"/>
            </w:tcBorders>
          </w:tcPr>
          <w:p w14:paraId="41AAB898">
            <w:pPr>
              <w:spacing w:line="340" w:lineRule="exact"/>
              <w:rPr>
                <w:rFonts w:asciiTheme="minorEastAsia" w:hAnsiTheme="minorEastAsia" w:eastAsiaTheme="minorEastAsia"/>
                <w:bCs/>
                <w:iCs/>
                <w:color w:val="000000"/>
                <w:sz w:val="24"/>
              </w:rPr>
            </w:pPr>
            <w:r>
              <w:rPr>
                <w:rFonts w:asciiTheme="minorEastAsia" w:hAnsiTheme="minorEastAsia" w:eastAsiaTheme="minorEastAsia"/>
                <w:bCs/>
                <w:iCs/>
                <w:color w:val="000000"/>
                <w:kern w:val="0"/>
                <w:sz w:val="24"/>
              </w:rPr>
              <w:t>□</w:t>
            </w:r>
            <w:r>
              <w:rPr>
                <w:rFonts w:asciiTheme="minorEastAsia" w:hAnsiTheme="minorEastAsia" w:eastAsiaTheme="minorEastAsia"/>
                <w:kern w:val="0"/>
                <w:sz w:val="24"/>
              </w:rPr>
              <w:t xml:space="preserve">特定对象调研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w:t>
            </w:r>
            <w:r>
              <w:rPr>
                <w:rFonts w:asciiTheme="minorEastAsia" w:hAnsiTheme="minorEastAsia" w:eastAsiaTheme="minorEastAsia"/>
                <w:bCs/>
                <w:iCs/>
                <w:color w:val="000000"/>
                <w:kern w:val="0"/>
                <w:sz w:val="24"/>
              </w:rPr>
              <w:t>□</w:t>
            </w:r>
            <w:r>
              <w:rPr>
                <w:rFonts w:hint="eastAsia" w:asciiTheme="minorEastAsia" w:hAnsiTheme="minorEastAsia" w:eastAsiaTheme="minorEastAsia"/>
                <w:bCs/>
                <w:iCs/>
                <w:color w:val="000000"/>
                <w:kern w:val="0"/>
                <w:sz w:val="24"/>
              </w:rPr>
              <w:t xml:space="preserve"> </w:t>
            </w:r>
            <w:r>
              <w:rPr>
                <w:rFonts w:asciiTheme="minorEastAsia" w:hAnsiTheme="minorEastAsia" w:eastAsiaTheme="minorEastAsia"/>
                <w:kern w:val="0"/>
                <w:sz w:val="24"/>
              </w:rPr>
              <w:t>分析师会议</w:t>
            </w:r>
          </w:p>
          <w:p w14:paraId="72132B09">
            <w:pPr>
              <w:spacing w:line="340" w:lineRule="exact"/>
              <w:rPr>
                <w:rFonts w:asciiTheme="minorEastAsia" w:hAnsiTheme="minorEastAsia" w:eastAsiaTheme="minorEastAsia"/>
                <w:bCs/>
                <w:iCs/>
                <w:color w:val="000000"/>
                <w:kern w:val="0"/>
                <w:sz w:val="24"/>
              </w:rPr>
            </w:pPr>
            <w:r>
              <w:rPr>
                <w:rFonts w:asciiTheme="minorEastAsia" w:hAnsiTheme="minorEastAsia" w:eastAsiaTheme="minorEastAsia"/>
                <w:bCs/>
                <w:iCs/>
                <w:color w:val="000000"/>
                <w:kern w:val="0"/>
                <w:sz w:val="24"/>
              </w:rPr>
              <w:t>□</w:t>
            </w:r>
            <w:r>
              <w:rPr>
                <w:rFonts w:hint="eastAsia" w:asciiTheme="minorEastAsia" w:hAnsiTheme="minorEastAsia" w:eastAsiaTheme="minorEastAsia"/>
                <w:bCs/>
                <w:iCs/>
                <w:color w:val="000000"/>
                <w:kern w:val="0"/>
                <w:sz w:val="24"/>
              </w:rPr>
              <w:t xml:space="preserve"> </w:t>
            </w:r>
            <w:r>
              <w:rPr>
                <w:rFonts w:asciiTheme="minorEastAsia" w:hAnsiTheme="minorEastAsia" w:eastAsiaTheme="minorEastAsia"/>
                <w:kern w:val="0"/>
                <w:sz w:val="24"/>
              </w:rPr>
              <w:t xml:space="preserve">媒体采访            </w:t>
            </w:r>
            <w:r>
              <w:rPr>
                <w:rFonts w:asciiTheme="minorEastAsia" w:hAnsiTheme="minorEastAsia" w:eastAsiaTheme="minorEastAsia"/>
                <w:bCs/>
                <w:iCs/>
                <w:color w:val="000000"/>
                <w:kern w:val="0"/>
                <w:sz w:val="24"/>
              </w:rPr>
              <w:t>√</w:t>
            </w:r>
            <w:r>
              <w:rPr>
                <w:rFonts w:hint="eastAsia" w:asciiTheme="minorEastAsia" w:hAnsiTheme="minorEastAsia" w:eastAsiaTheme="minorEastAsia"/>
                <w:bCs/>
                <w:iCs/>
                <w:color w:val="000000"/>
                <w:kern w:val="0"/>
                <w:sz w:val="24"/>
              </w:rPr>
              <w:t xml:space="preserve"> </w:t>
            </w:r>
            <w:r>
              <w:rPr>
                <w:rFonts w:asciiTheme="minorEastAsia" w:hAnsiTheme="minorEastAsia" w:eastAsiaTheme="minorEastAsia"/>
                <w:kern w:val="0"/>
                <w:sz w:val="24"/>
              </w:rPr>
              <w:t>业绩说明会</w:t>
            </w:r>
          </w:p>
          <w:p w14:paraId="3C5BA591">
            <w:pPr>
              <w:spacing w:line="340" w:lineRule="exact"/>
              <w:rPr>
                <w:rFonts w:asciiTheme="minorEastAsia" w:hAnsiTheme="minorEastAsia" w:eastAsiaTheme="minorEastAsia"/>
                <w:bCs/>
                <w:iCs/>
                <w:color w:val="000000"/>
                <w:kern w:val="0"/>
                <w:sz w:val="24"/>
              </w:rPr>
            </w:pPr>
            <w:r>
              <w:rPr>
                <w:rFonts w:asciiTheme="minorEastAsia" w:hAnsiTheme="minorEastAsia" w:eastAsiaTheme="minorEastAsia"/>
                <w:bCs/>
                <w:iCs/>
                <w:color w:val="000000"/>
                <w:kern w:val="0"/>
                <w:sz w:val="24"/>
              </w:rPr>
              <w:t>□</w:t>
            </w:r>
            <w:r>
              <w:rPr>
                <w:rFonts w:hint="eastAsia" w:asciiTheme="minorEastAsia" w:hAnsiTheme="minorEastAsia" w:eastAsiaTheme="minorEastAsia"/>
                <w:bCs/>
                <w:iCs/>
                <w:color w:val="000000"/>
                <w:kern w:val="0"/>
                <w:sz w:val="24"/>
              </w:rPr>
              <w:t xml:space="preserve"> </w:t>
            </w:r>
            <w:r>
              <w:rPr>
                <w:rFonts w:asciiTheme="minorEastAsia" w:hAnsiTheme="minorEastAsia" w:eastAsiaTheme="minorEastAsia"/>
                <w:kern w:val="0"/>
                <w:sz w:val="24"/>
              </w:rPr>
              <w:t xml:space="preserve">新闻发布会          </w:t>
            </w:r>
            <w:r>
              <w:rPr>
                <w:rFonts w:asciiTheme="minorEastAsia" w:hAnsiTheme="minorEastAsia" w:eastAsiaTheme="minorEastAsia"/>
                <w:bCs/>
                <w:iCs/>
                <w:color w:val="000000"/>
                <w:kern w:val="0"/>
                <w:sz w:val="24"/>
              </w:rPr>
              <w:t>□</w:t>
            </w:r>
            <w:r>
              <w:rPr>
                <w:rFonts w:hint="eastAsia" w:asciiTheme="minorEastAsia" w:hAnsiTheme="minorEastAsia" w:eastAsiaTheme="minorEastAsia"/>
                <w:bCs/>
                <w:iCs/>
                <w:color w:val="000000"/>
                <w:kern w:val="0"/>
                <w:sz w:val="24"/>
              </w:rPr>
              <w:t xml:space="preserve"> </w:t>
            </w:r>
            <w:r>
              <w:rPr>
                <w:rFonts w:asciiTheme="minorEastAsia" w:hAnsiTheme="minorEastAsia" w:eastAsiaTheme="minorEastAsia"/>
                <w:kern w:val="0"/>
                <w:sz w:val="24"/>
              </w:rPr>
              <w:t>路演活动</w:t>
            </w:r>
          </w:p>
          <w:p w14:paraId="1EE6DF02">
            <w:pPr>
              <w:tabs>
                <w:tab w:val="left" w:pos="3045"/>
                <w:tab w:val="center" w:pos="3199"/>
              </w:tabs>
              <w:spacing w:line="340" w:lineRule="exact"/>
              <w:rPr>
                <w:rFonts w:asciiTheme="minorEastAsia" w:hAnsiTheme="minorEastAsia" w:eastAsiaTheme="minorEastAsia"/>
                <w:bCs/>
                <w:iCs/>
                <w:color w:val="000000"/>
                <w:kern w:val="0"/>
                <w:sz w:val="24"/>
              </w:rPr>
            </w:pPr>
            <w:r>
              <w:rPr>
                <w:rFonts w:asciiTheme="minorEastAsia" w:hAnsiTheme="minorEastAsia" w:eastAsiaTheme="minorEastAsia"/>
                <w:bCs/>
                <w:iCs/>
                <w:color w:val="000000"/>
                <w:kern w:val="0"/>
                <w:sz w:val="24"/>
              </w:rPr>
              <w:t>□</w:t>
            </w:r>
            <w:r>
              <w:rPr>
                <w:rFonts w:hint="eastAsia" w:asciiTheme="minorEastAsia" w:hAnsiTheme="minorEastAsia" w:eastAsiaTheme="minorEastAsia"/>
                <w:bCs/>
                <w:iCs/>
                <w:color w:val="000000"/>
                <w:kern w:val="0"/>
                <w:sz w:val="24"/>
              </w:rPr>
              <w:t xml:space="preserve"> </w:t>
            </w:r>
            <w:r>
              <w:rPr>
                <w:rFonts w:asciiTheme="minorEastAsia" w:hAnsiTheme="minorEastAsia" w:eastAsiaTheme="minorEastAsia"/>
                <w:kern w:val="0"/>
                <w:sz w:val="24"/>
              </w:rPr>
              <w:t>现场参观</w:t>
            </w:r>
            <w:r>
              <w:rPr>
                <w:rFonts w:asciiTheme="minorEastAsia" w:hAnsiTheme="minorEastAsia" w:eastAsiaTheme="minorEastAsia"/>
                <w:bCs/>
                <w:iCs/>
                <w:color w:val="000000"/>
                <w:kern w:val="0"/>
                <w:sz w:val="24"/>
              </w:rPr>
              <w:tab/>
            </w:r>
          </w:p>
          <w:p w14:paraId="29617F9F">
            <w:pPr>
              <w:tabs>
                <w:tab w:val="center" w:pos="3199"/>
              </w:tabs>
              <w:spacing w:line="340" w:lineRule="exact"/>
              <w:rPr>
                <w:rFonts w:asciiTheme="minorEastAsia" w:hAnsiTheme="minorEastAsia" w:eastAsiaTheme="minorEastAsia"/>
                <w:bCs/>
                <w:iCs/>
                <w:color w:val="000000"/>
                <w:sz w:val="24"/>
              </w:rPr>
            </w:pPr>
            <w:r>
              <w:rPr>
                <w:rFonts w:asciiTheme="minorEastAsia" w:hAnsiTheme="minorEastAsia" w:eastAsiaTheme="minorEastAsia"/>
                <w:bCs/>
                <w:iCs/>
                <w:color w:val="000000"/>
                <w:kern w:val="0"/>
                <w:sz w:val="24"/>
              </w:rPr>
              <w:t>□</w:t>
            </w:r>
            <w:r>
              <w:rPr>
                <w:rFonts w:hint="eastAsia" w:asciiTheme="minorEastAsia" w:hAnsiTheme="minorEastAsia" w:eastAsiaTheme="minorEastAsia"/>
                <w:bCs/>
                <w:iCs/>
                <w:color w:val="000000"/>
                <w:kern w:val="0"/>
                <w:sz w:val="24"/>
              </w:rPr>
              <w:t xml:space="preserve"> </w:t>
            </w:r>
            <w:r>
              <w:rPr>
                <w:rFonts w:asciiTheme="minorEastAsia" w:hAnsiTheme="minorEastAsia" w:eastAsiaTheme="minorEastAsia"/>
                <w:kern w:val="0"/>
                <w:sz w:val="24"/>
              </w:rPr>
              <w:t>其他 （</w:t>
            </w:r>
            <w:r>
              <w:rPr>
                <w:rFonts w:asciiTheme="minorEastAsia" w:hAnsiTheme="minorEastAsia" w:eastAsiaTheme="minorEastAsia"/>
                <w:kern w:val="0"/>
                <w:sz w:val="24"/>
                <w:u w:val="single"/>
              </w:rPr>
              <w:t>请文字说明其他活动内容）</w:t>
            </w:r>
          </w:p>
        </w:tc>
      </w:tr>
      <w:tr w14:paraId="14AC6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center"/>
          </w:tcPr>
          <w:p w14:paraId="27B5E586">
            <w:pPr>
              <w:spacing w:line="420" w:lineRule="exact"/>
              <w:rPr>
                <w:rFonts w:asciiTheme="minorEastAsia" w:hAnsiTheme="minorEastAsia" w:eastAsiaTheme="minorEastAsia"/>
                <w:bCs/>
                <w:iCs/>
                <w:color w:val="000000"/>
                <w:kern w:val="0"/>
                <w:sz w:val="24"/>
              </w:rPr>
            </w:pPr>
            <w:r>
              <w:rPr>
                <w:rFonts w:asciiTheme="minorEastAsia" w:hAnsiTheme="minorEastAsia" w:eastAsiaTheme="minorEastAsia"/>
                <w:bCs/>
                <w:iCs/>
                <w:color w:val="000000"/>
                <w:kern w:val="0"/>
                <w:sz w:val="24"/>
              </w:rPr>
              <w:t>参与人员</w:t>
            </w:r>
          </w:p>
        </w:tc>
        <w:tc>
          <w:tcPr>
            <w:tcW w:w="7229" w:type="dxa"/>
            <w:tcBorders>
              <w:top w:val="single" w:color="auto" w:sz="4" w:space="0"/>
              <w:left w:val="single" w:color="auto" w:sz="4" w:space="0"/>
              <w:bottom w:val="single" w:color="auto" w:sz="4" w:space="0"/>
              <w:right w:val="single" w:color="auto" w:sz="4" w:space="0"/>
            </w:tcBorders>
            <w:vAlign w:val="center"/>
          </w:tcPr>
          <w:p w14:paraId="245E8849">
            <w:pPr>
              <w:spacing w:line="420" w:lineRule="exact"/>
              <w:rPr>
                <w:rFonts w:asciiTheme="minorEastAsia" w:hAnsiTheme="minorEastAsia" w:eastAsiaTheme="minorEastAsia"/>
                <w:bCs/>
                <w:iCs/>
                <w:color w:val="000000"/>
                <w:sz w:val="24"/>
                <w:lang w:val="en-GB"/>
              </w:rPr>
            </w:pPr>
            <w:r>
              <w:rPr>
                <w:rFonts w:hint="eastAsia" w:asciiTheme="minorEastAsia" w:hAnsiTheme="minorEastAsia" w:eastAsiaTheme="minorEastAsia"/>
                <w:bCs/>
                <w:iCs/>
                <w:color w:val="000000"/>
                <w:sz w:val="24"/>
              </w:rPr>
              <w:t>参与公司</w:t>
            </w:r>
            <w:r>
              <w:rPr>
                <w:rFonts w:asciiTheme="minorEastAsia" w:hAnsiTheme="minorEastAsia" w:eastAsiaTheme="minorEastAsia"/>
                <w:bCs/>
                <w:iCs/>
                <w:color w:val="000000"/>
                <w:sz w:val="24"/>
              </w:rPr>
              <w:t>202</w:t>
            </w:r>
            <w:r>
              <w:rPr>
                <w:rFonts w:hint="eastAsia" w:asciiTheme="minorEastAsia" w:hAnsiTheme="minorEastAsia" w:eastAsiaTheme="minorEastAsia"/>
                <w:bCs/>
                <w:iCs/>
                <w:color w:val="000000"/>
                <w:sz w:val="24"/>
                <w:lang w:val="en-US" w:eastAsia="zh-CN"/>
              </w:rPr>
              <w:t>5</w:t>
            </w:r>
            <w:r>
              <w:rPr>
                <w:rFonts w:hint="eastAsia" w:asciiTheme="minorEastAsia" w:hAnsiTheme="minorEastAsia" w:eastAsiaTheme="minorEastAsia"/>
                <w:bCs/>
                <w:iCs/>
                <w:color w:val="000000"/>
                <w:sz w:val="24"/>
              </w:rPr>
              <w:t>年中报业绩说明会的投资者</w:t>
            </w:r>
          </w:p>
        </w:tc>
      </w:tr>
      <w:tr w14:paraId="0D5D8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center"/>
          </w:tcPr>
          <w:p w14:paraId="2F7854C0">
            <w:pPr>
              <w:spacing w:line="420" w:lineRule="exact"/>
              <w:rPr>
                <w:rFonts w:asciiTheme="minorEastAsia" w:hAnsiTheme="minorEastAsia" w:eastAsiaTheme="minorEastAsia"/>
                <w:bCs/>
                <w:iCs/>
                <w:color w:val="000000"/>
                <w:kern w:val="0"/>
                <w:sz w:val="24"/>
              </w:rPr>
            </w:pPr>
            <w:r>
              <w:rPr>
                <w:rFonts w:asciiTheme="minorEastAsia" w:hAnsiTheme="minorEastAsia" w:eastAsiaTheme="minorEastAsia"/>
                <w:bCs/>
                <w:iCs/>
                <w:color w:val="000000"/>
                <w:kern w:val="0"/>
                <w:sz w:val="24"/>
              </w:rPr>
              <w:t>会议时间</w:t>
            </w:r>
          </w:p>
        </w:tc>
        <w:tc>
          <w:tcPr>
            <w:tcW w:w="7229" w:type="dxa"/>
            <w:tcBorders>
              <w:top w:val="single" w:color="auto" w:sz="4" w:space="0"/>
              <w:left w:val="single" w:color="auto" w:sz="4" w:space="0"/>
              <w:bottom w:val="single" w:color="auto" w:sz="4" w:space="0"/>
              <w:right w:val="single" w:color="auto" w:sz="4" w:space="0"/>
            </w:tcBorders>
          </w:tcPr>
          <w:p w14:paraId="2751C160">
            <w:pPr>
              <w:spacing w:line="420" w:lineRule="exact"/>
              <w:rPr>
                <w:rFonts w:asciiTheme="minorEastAsia" w:hAnsiTheme="minorEastAsia" w:eastAsiaTheme="minorEastAsia"/>
                <w:bCs/>
                <w:iCs/>
                <w:color w:val="000000"/>
                <w:sz w:val="24"/>
              </w:rPr>
            </w:pPr>
            <w:r>
              <w:rPr>
                <w:rFonts w:asciiTheme="minorEastAsia" w:hAnsiTheme="minorEastAsia" w:eastAsiaTheme="minorEastAsia"/>
                <w:bCs/>
                <w:iCs/>
                <w:color w:val="000000"/>
                <w:sz w:val="24"/>
              </w:rPr>
              <w:t>202</w:t>
            </w:r>
            <w:r>
              <w:rPr>
                <w:rFonts w:hint="eastAsia" w:asciiTheme="minorEastAsia" w:hAnsiTheme="minorEastAsia" w:eastAsiaTheme="minorEastAsia"/>
                <w:bCs/>
                <w:iCs/>
                <w:color w:val="000000"/>
                <w:sz w:val="24"/>
                <w:lang w:val="en-US" w:eastAsia="zh-CN"/>
              </w:rPr>
              <w:t>5</w:t>
            </w:r>
            <w:r>
              <w:rPr>
                <w:rFonts w:asciiTheme="minorEastAsia" w:hAnsiTheme="minorEastAsia" w:eastAsiaTheme="minorEastAsia"/>
                <w:bCs/>
                <w:iCs/>
                <w:color w:val="000000"/>
                <w:sz w:val="24"/>
              </w:rPr>
              <w:t>年9月1</w:t>
            </w:r>
            <w:r>
              <w:rPr>
                <w:rFonts w:hint="eastAsia" w:asciiTheme="minorEastAsia" w:hAnsiTheme="minorEastAsia" w:eastAsiaTheme="minorEastAsia"/>
                <w:bCs/>
                <w:iCs/>
                <w:color w:val="000000"/>
                <w:sz w:val="24"/>
                <w:lang w:val="en-US" w:eastAsia="zh-CN"/>
              </w:rPr>
              <w:t>9</w:t>
            </w:r>
            <w:r>
              <w:rPr>
                <w:rFonts w:asciiTheme="minorEastAsia" w:hAnsiTheme="minorEastAsia" w:eastAsiaTheme="minorEastAsia"/>
                <w:bCs/>
                <w:iCs/>
                <w:color w:val="000000"/>
                <w:sz w:val="24"/>
              </w:rPr>
              <w:t>日 (周五) 下午 1</w:t>
            </w:r>
            <w:r>
              <w:rPr>
                <w:rFonts w:hint="eastAsia" w:asciiTheme="minorEastAsia" w:hAnsiTheme="minorEastAsia" w:eastAsiaTheme="minorEastAsia"/>
                <w:bCs/>
                <w:iCs/>
                <w:color w:val="000000"/>
                <w:sz w:val="24"/>
                <w:lang w:val="en-US" w:eastAsia="zh-CN"/>
              </w:rPr>
              <w:t>5</w:t>
            </w:r>
            <w:r>
              <w:rPr>
                <w:rFonts w:asciiTheme="minorEastAsia" w:hAnsiTheme="minorEastAsia" w:eastAsiaTheme="minorEastAsia"/>
                <w:bCs/>
                <w:iCs/>
                <w:color w:val="000000"/>
                <w:sz w:val="24"/>
              </w:rPr>
              <w:t>:00</w:t>
            </w:r>
            <w:r>
              <w:rPr>
                <w:rFonts w:hint="eastAsia" w:asciiTheme="minorEastAsia" w:hAnsiTheme="minorEastAsia" w:eastAsiaTheme="minorEastAsia"/>
                <w:bCs/>
                <w:iCs/>
                <w:color w:val="000000"/>
                <w:sz w:val="24"/>
                <w:lang w:val="en-US" w:eastAsia="zh-CN"/>
              </w:rPr>
              <w:t>-17</w:t>
            </w:r>
            <w:r>
              <w:rPr>
                <w:rFonts w:asciiTheme="minorEastAsia" w:hAnsiTheme="minorEastAsia" w:eastAsiaTheme="minorEastAsia"/>
                <w:bCs/>
                <w:iCs/>
                <w:color w:val="000000"/>
                <w:sz w:val="24"/>
              </w:rPr>
              <w:t>:</w:t>
            </w:r>
            <w:r>
              <w:rPr>
                <w:rFonts w:hint="eastAsia" w:asciiTheme="minorEastAsia" w:hAnsiTheme="minorEastAsia" w:eastAsiaTheme="minorEastAsia"/>
                <w:bCs/>
                <w:iCs/>
                <w:color w:val="000000"/>
                <w:sz w:val="24"/>
                <w:lang w:val="en-US" w:eastAsia="zh-CN"/>
              </w:rPr>
              <w:t>0</w:t>
            </w:r>
            <w:r>
              <w:rPr>
                <w:rFonts w:asciiTheme="minorEastAsia" w:hAnsiTheme="minorEastAsia" w:eastAsiaTheme="minorEastAsia"/>
                <w:bCs/>
                <w:iCs/>
                <w:color w:val="000000"/>
                <w:sz w:val="24"/>
              </w:rPr>
              <w:t>0</w:t>
            </w:r>
          </w:p>
        </w:tc>
      </w:tr>
      <w:tr w14:paraId="1CCDB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center"/>
          </w:tcPr>
          <w:p w14:paraId="72A8B818">
            <w:pPr>
              <w:spacing w:line="420" w:lineRule="exact"/>
              <w:rPr>
                <w:rFonts w:asciiTheme="minorEastAsia" w:hAnsiTheme="minorEastAsia" w:eastAsiaTheme="minorEastAsia"/>
                <w:bCs/>
                <w:iCs/>
                <w:color w:val="000000"/>
                <w:kern w:val="0"/>
                <w:sz w:val="24"/>
              </w:rPr>
            </w:pPr>
            <w:r>
              <w:rPr>
                <w:rFonts w:asciiTheme="minorEastAsia" w:hAnsiTheme="minorEastAsia" w:eastAsiaTheme="minorEastAsia"/>
                <w:bCs/>
                <w:iCs/>
                <w:color w:val="000000"/>
                <w:kern w:val="0"/>
                <w:sz w:val="24"/>
              </w:rPr>
              <w:t>会议地点</w:t>
            </w:r>
          </w:p>
        </w:tc>
        <w:tc>
          <w:tcPr>
            <w:tcW w:w="7229" w:type="dxa"/>
            <w:tcBorders>
              <w:top w:val="single" w:color="auto" w:sz="4" w:space="0"/>
              <w:left w:val="single" w:color="auto" w:sz="4" w:space="0"/>
              <w:bottom w:val="single" w:color="auto" w:sz="4" w:space="0"/>
              <w:right w:val="single" w:color="auto" w:sz="4" w:space="0"/>
            </w:tcBorders>
          </w:tcPr>
          <w:p w14:paraId="09ADB3DF">
            <w:pPr>
              <w:spacing w:line="420" w:lineRule="exact"/>
              <w:rPr>
                <w:rFonts w:asciiTheme="minorEastAsia" w:hAnsiTheme="minorEastAsia" w:eastAsiaTheme="minorEastAsia"/>
                <w:bCs/>
                <w:iCs/>
                <w:color w:val="000000"/>
                <w:sz w:val="24"/>
              </w:rPr>
            </w:pPr>
            <w:r>
              <w:rPr>
                <w:rFonts w:asciiTheme="minorEastAsia" w:hAnsiTheme="minorEastAsia" w:eastAsiaTheme="minorEastAsia"/>
                <w:sz w:val="24"/>
              </w:rPr>
              <w:t>通过</w:t>
            </w:r>
            <w:r>
              <w:rPr>
                <w:rFonts w:hint="eastAsia" w:asciiTheme="minorEastAsia" w:hAnsiTheme="minorEastAsia" w:eastAsiaTheme="minorEastAsia"/>
                <w:bCs/>
                <w:sz w:val="24"/>
              </w:rPr>
              <w:t>全景网“</w:t>
            </w:r>
            <w:r>
              <w:rPr>
                <w:rFonts w:cs="宋体" w:asciiTheme="minorEastAsia" w:hAnsiTheme="minorEastAsia" w:eastAsiaTheme="minorEastAsia"/>
                <w:sz w:val="24"/>
              </w:rPr>
              <w:t>投资者关系互动平台</w:t>
            </w:r>
            <w:r>
              <w:rPr>
                <w:rFonts w:hint="eastAsia" w:asciiTheme="minorEastAsia" w:hAnsiTheme="minorEastAsia" w:eastAsiaTheme="minorEastAsia"/>
                <w:bCs/>
                <w:sz w:val="24"/>
              </w:rPr>
              <w:t>”（http</w:t>
            </w:r>
            <w:r>
              <w:rPr>
                <w:rFonts w:asciiTheme="minorEastAsia" w:hAnsiTheme="minorEastAsia" w:eastAsiaTheme="minorEastAsia"/>
                <w:bCs/>
                <w:sz w:val="24"/>
              </w:rPr>
              <w:t>s</w:t>
            </w:r>
            <w:r>
              <w:rPr>
                <w:rFonts w:hint="eastAsia" w:asciiTheme="minorEastAsia" w:hAnsiTheme="minorEastAsia" w:eastAsiaTheme="minorEastAsia"/>
                <w:bCs/>
                <w:sz w:val="24"/>
              </w:rPr>
              <w:t>://ir.p5w.net）采用网络远程的方式</w:t>
            </w:r>
            <w:r>
              <w:rPr>
                <w:rFonts w:asciiTheme="minorEastAsia" w:hAnsiTheme="minorEastAsia" w:eastAsiaTheme="minorEastAsia"/>
                <w:sz w:val="24"/>
              </w:rPr>
              <w:t>召开</w:t>
            </w:r>
            <w:r>
              <w:rPr>
                <w:rFonts w:hint="eastAsia" w:asciiTheme="minorEastAsia" w:hAnsiTheme="minorEastAsia" w:eastAsiaTheme="minorEastAsia"/>
                <w:sz w:val="24"/>
              </w:rPr>
              <w:t>业绩</w:t>
            </w:r>
            <w:r>
              <w:rPr>
                <w:rFonts w:asciiTheme="minorEastAsia" w:hAnsiTheme="minorEastAsia" w:eastAsiaTheme="minorEastAsia"/>
                <w:sz w:val="24"/>
              </w:rPr>
              <w:t>说明会</w:t>
            </w:r>
          </w:p>
        </w:tc>
      </w:tr>
      <w:tr w14:paraId="2EB7D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center"/>
          </w:tcPr>
          <w:p w14:paraId="0CACF69F">
            <w:pPr>
              <w:spacing w:line="420" w:lineRule="exact"/>
              <w:rPr>
                <w:rFonts w:hint="eastAsia" w:asciiTheme="minorEastAsia" w:hAnsiTheme="minorEastAsia" w:eastAsiaTheme="minorEastAsia"/>
                <w:bCs/>
                <w:iCs/>
                <w:color w:val="000000"/>
                <w:kern w:val="0"/>
                <w:sz w:val="24"/>
              </w:rPr>
            </w:pPr>
            <w:r>
              <w:rPr>
                <w:rFonts w:asciiTheme="minorEastAsia" w:hAnsiTheme="minorEastAsia" w:eastAsiaTheme="minorEastAsia"/>
                <w:bCs/>
                <w:iCs/>
                <w:color w:val="000000"/>
                <w:kern w:val="0"/>
                <w:sz w:val="24"/>
              </w:rPr>
              <w:t>公司接待</w:t>
            </w:r>
          </w:p>
          <w:p w14:paraId="4B3E2EC5">
            <w:pPr>
              <w:spacing w:line="420" w:lineRule="exact"/>
              <w:rPr>
                <w:rFonts w:asciiTheme="minorEastAsia" w:hAnsiTheme="minorEastAsia" w:eastAsiaTheme="minorEastAsia"/>
                <w:bCs/>
                <w:iCs/>
                <w:color w:val="000000"/>
                <w:kern w:val="0"/>
                <w:sz w:val="24"/>
              </w:rPr>
            </w:pPr>
            <w:r>
              <w:rPr>
                <w:rFonts w:asciiTheme="minorEastAsia" w:hAnsiTheme="minorEastAsia" w:eastAsiaTheme="minorEastAsia"/>
                <w:bCs/>
                <w:iCs/>
                <w:color w:val="000000"/>
                <w:kern w:val="0"/>
                <w:sz w:val="24"/>
              </w:rPr>
              <w:t>人员姓名</w:t>
            </w:r>
          </w:p>
        </w:tc>
        <w:tc>
          <w:tcPr>
            <w:tcW w:w="7229" w:type="dxa"/>
            <w:tcBorders>
              <w:top w:val="single" w:color="auto" w:sz="4" w:space="0"/>
              <w:left w:val="single" w:color="auto" w:sz="4" w:space="0"/>
              <w:bottom w:val="single" w:color="auto" w:sz="4" w:space="0"/>
              <w:right w:val="single" w:color="auto" w:sz="4" w:space="0"/>
            </w:tcBorders>
            <w:vAlign w:val="center"/>
          </w:tcPr>
          <w:p w14:paraId="38EB14EA">
            <w:pPr>
              <w:spacing w:line="420" w:lineRule="exact"/>
              <w:rPr>
                <w:rFonts w:asciiTheme="minorEastAsia" w:hAnsiTheme="minorEastAsia" w:eastAsiaTheme="minorEastAsia"/>
                <w:bCs/>
                <w:sz w:val="24"/>
              </w:rPr>
            </w:pPr>
            <w:r>
              <w:rPr>
                <w:rFonts w:hint="eastAsia" w:asciiTheme="minorEastAsia" w:hAnsiTheme="minorEastAsia" w:eastAsiaTheme="minorEastAsia"/>
                <w:bCs/>
                <w:sz w:val="24"/>
              </w:rPr>
              <w:t>公司董事、总裁（代行董事长职责）宋晓东先生，独立董事刘少轩先生，副总裁（代行董事会秘书职责）杨智勇先生，资产财务部总经理姜丽丽女士</w:t>
            </w:r>
          </w:p>
        </w:tc>
      </w:tr>
      <w:tr w14:paraId="30FAD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center"/>
          </w:tcPr>
          <w:p w14:paraId="4D81376A">
            <w:pPr>
              <w:spacing w:line="420" w:lineRule="exact"/>
              <w:rPr>
                <w:rFonts w:asciiTheme="minorEastAsia" w:hAnsiTheme="minorEastAsia" w:eastAsiaTheme="minorEastAsia"/>
                <w:bCs/>
                <w:iCs/>
                <w:color w:val="000000"/>
                <w:kern w:val="0"/>
                <w:sz w:val="24"/>
              </w:rPr>
            </w:pPr>
            <w:r>
              <w:rPr>
                <w:rFonts w:asciiTheme="minorEastAsia" w:hAnsiTheme="minorEastAsia" w:eastAsiaTheme="minorEastAsia"/>
                <w:bCs/>
                <w:iCs/>
                <w:color w:val="000000"/>
                <w:kern w:val="0"/>
                <w:sz w:val="24"/>
              </w:rPr>
              <w:t>投资者关系活动主要内容介绍</w:t>
            </w:r>
          </w:p>
          <w:p w14:paraId="3FFDEE90">
            <w:pPr>
              <w:spacing w:line="420" w:lineRule="exact"/>
              <w:rPr>
                <w:rFonts w:asciiTheme="minorEastAsia" w:hAnsiTheme="minorEastAsia" w:eastAsiaTheme="minorEastAsia"/>
                <w:bCs/>
                <w:iCs/>
                <w:color w:val="000000"/>
                <w:sz w:val="24"/>
              </w:rPr>
            </w:pPr>
          </w:p>
        </w:tc>
        <w:tc>
          <w:tcPr>
            <w:tcW w:w="7229" w:type="dxa"/>
            <w:tcBorders>
              <w:top w:val="single" w:color="auto" w:sz="4" w:space="0"/>
              <w:left w:val="single" w:color="auto" w:sz="4" w:space="0"/>
              <w:bottom w:val="single" w:color="auto" w:sz="4" w:space="0"/>
              <w:right w:val="single" w:color="auto" w:sz="4" w:space="0"/>
            </w:tcBorders>
          </w:tcPr>
          <w:p w14:paraId="0F2B381D">
            <w:pPr>
              <w:snapToGrid w:val="0"/>
              <w:spacing w:line="300" w:lineRule="auto"/>
              <w:rPr>
                <w:rFonts w:asciiTheme="minorEastAsia" w:hAnsiTheme="minorEastAsia" w:eastAsiaTheme="minorEastAsia"/>
                <w:sz w:val="24"/>
              </w:rPr>
            </w:pPr>
            <w:r>
              <w:rPr>
                <w:rFonts w:asciiTheme="minorEastAsia" w:hAnsiTheme="minorEastAsia" w:eastAsiaTheme="minorEastAsia"/>
                <w:sz w:val="24"/>
              </w:rPr>
              <w:t>投资者提出的问题及公司回复情况：</w:t>
            </w:r>
          </w:p>
          <w:p w14:paraId="6C2C3C89">
            <w:pPr>
              <w:pStyle w:val="8"/>
              <w:spacing w:line="460" w:lineRule="exact"/>
              <w:ind w:left="0" w:leftChars="0" w:firstLine="480" w:firstLineChars="20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1、最新的新华·波罗的海国际航运中心发展指数排名，新加坡港位居第一，上海港位列第三，请问，在高端航运服务方面，上海港与新加坡港的差距主要在哪里，有信心赶上并超越吗？</w:t>
            </w:r>
          </w:p>
          <w:p w14:paraId="505A5CE6">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新加坡凭借成熟的国际化服务体系和政策环境，在高端航运服务如海事法律仲裁、航运金融、保险等具有一定领先优势。当前，绿色低碳、数字智慧成为国际航运中心高端航运服务业的新内涵、新赛道，上海港在船用清洁能源加注、自动化码头等处于全球前列，新赛道优势不断提升，依托持续巩固的枢纽港地位、持续优化的营商环境和制度创新，上海正加快打造全球领先的国际航运中心。感谢您对公司的关注。</w:t>
            </w:r>
          </w:p>
          <w:p w14:paraId="1B007486">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2、传统的海事法律仲裁、航运金融、保险等服务并未弱化，它们依然是高端航运服务业的基础和核心，请问公司在这方面是否有计划推进？</w:t>
            </w:r>
          </w:p>
          <w:p w14:paraId="14507574">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尊敬的投资者，您好。公司将在有关部门的指导下，积极参与上海国际航运中心建设。感谢您对公司的关注。</w:t>
            </w:r>
          </w:p>
          <w:p w14:paraId="107DD05F">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3、国内沿海大型港口都在扩建，请问公司如何看待港口间的竞争关系？如何保持竞争优势？</w:t>
            </w:r>
          </w:p>
          <w:p w14:paraId="3A23E1ED">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尊敬的投资者，您好。公司努力在新科技、新区域、新业态寻求新突破、构筑新优势，不断提升服务能级，增强公司核心竞争力。感谢您对公司的关注。</w:t>
            </w:r>
          </w:p>
          <w:p w14:paraId="4328CAA0">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4、宋总您好，请问目前上港的对外投资中邮储银行和上海银行的经营业绩会对公司业绩有多大的影响？未来上港会继续加大对两家银行的投资比重吗？谢谢</w:t>
            </w:r>
          </w:p>
          <w:p w14:paraId="094A5768">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公司投资上海银行和邮储银行，符合近年来公司多元化发展的战略目标，通过投资可获得稳健的回报，并有利于进一步实现产业资本与金融资本的融合，充分发挥其协同发展作用，为港口、金融双方的共同发展、合作共赢提供了更广阔的前景。两家银行对公司业绩的影响具体请关注公司定期报告。感谢您对公司的关注。</w:t>
            </w:r>
          </w:p>
          <w:p w14:paraId="3172C02C">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5、上海港集装箱吞吐量单月突破502万标准箱，随着箱量持续增长，长江口通江达海，会否持续开发长江口深水岸线，深化发展长江战略</w:t>
            </w:r>
          </w:p>
          <w:p w14:paraId="673668EB">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目前，公司正在推进罗泾港区集装箱码头改造和小洋山北侧开发等能力提升工程项目，其中，罗泾港区集装箱码头改造一期工程已投产，二期工程已开工建设，小洋北工程将在“十五五”期间分区域逐步投产。未来，公司将继续努力提高生产效率和集装箱吞吐量。感谢您对公司的关注。</w:t>
            </w:r>
          </w:p>
          <w:p w14:paraId="56717A2E">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6、上海港集装箱吞吐量单月突破502万标准箱，随着箱量持续增长，长江口通江达海，会否持续开发长江口深水岸线，深化发展长江战略。</w:t>
            </w:r>
          </w:p>
          <w:p w14:paraId="3A3B5984">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目前，公司正在推进罗泾港区集装箱码头改造和小洋山北侧开发等能力提升工程项目，其中，罗泾港区集装箱码头改造一期工程已投产，二期工程已开工建设，小洋北工程将在“十五五”期间分区域逐步投产。未来，公司将继续努力提高生产效率和集装箱吞吐量。感谢您对公司的关注。</w:t>
            </w:r>
          </w:p>
          <w:p w14:paraId="4076277D">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7、公司章程承诺分红政策，每年不少于利润的50%分红，不能只按港口营业的利润分红，应计算包含投资所得利润共132.8亿的50%以上分红才合理，分红应不少于66.4亿元，这样明显违约。</w:t>
            </w:r>
          </w:p>
          <w:p w14:paraId="11A76EF6">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根据《上海证券交易所股票上市规则》的相关规定，上市公司制定利润分配方案时，应当以母公司报表中可供分配利润为依据。公司2024年度现金分红（包括半年度分配的现金红利）总额约为45.40亿元（含税），占公司当年可分配利润75.04亿元的比例超过60%。感谢您对公司的关注。</w:t>
            </w:r>
          </w:p>
          <w:p w14:paraId="7148BED5">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8、上港集团与上港足球俱乐部是什么关系？每年上港集团向上港足球俱乐部投入多少？产生效益多少？</w:t>
            </w:r>
          </w:p>
          <w:p w14:paraId="3479A825">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尊敬的投资者，您好。足球俱乐部为公司子公司，有关俱乐部相关信息，请您关注俱乐部官方发布。感谢您对公司的关注。</w:t>
            </w:r>
          </w:p>
          <w:p w14:paraId="244F521F">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9、请问目前洋山港泊位利用率如何？是否达到瓶颈？有无扩建计划？</w:t>
            </w:r>
          </w:p>
          <w:p w14:paraId="0834D3AF">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洋山深水港区为世界最繁忙的港区之一，其泊位利用率和作业效率均处于世界前列。公司目前正在积极推进小洋山北侧开发建设，将在“十五五”期间分区域逐步投产，进一步提升上海港的集装箱吞吐能力，巩固国际枢纽港地位。感谢您对公司的关注。</w:t>
            </w:r>
          </w:p>
          <w:p w14:paraId="26E2DD0D">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10、你好！上港集团在今年大环境这么好的情况下，上证指数涨了近900点，为什么上港集团股价却跌了7个点，我们投资者心拔凉拔凉的，也不符合上港集团在中国乃至整个世界的排名预期？希望管理层多多关心关心公司的股东们的回报，不能寒了股民的心，谢谢！</w:t>
            </w:r>
          </w:p>
          <w:p w14:paraId="514BE6B5">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感谢您对公司一直以来的关注和支持。上市公司在二级市场的股价表现受到宏观经济、大盘走势、市场环境及投资者预期等多重复杂因素的综合影响。公司始终高度重视投资者回报，坚持稳健经营，致力于实现可持续的业绩增长。我们将持续聚焦主业、强化核心竞争力，不断提升公司价值，力求以持续、稳定、良好的经营成果回馈广大投资者。</w:t>
            </w:r>
          </w:p>
          <w:p w14:paraId="4A024C15">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11、您好，在海事法律仲裁、航运金融、保险等服务方面，上港港有可能5年内接近或赶超新加坡港吗？是否需要各方面力量的协同？</w:t>
            </w:r>
          </w:p>
          <w:p w14:paraId="3B5ADA0D">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当前，绿色低碳、数字智慧成为国际航运中心高端航运服务业的新内涵、新赛道，上海港在船用清洁能源加注、自动化码头等处于全球前列，优势不断提升，依托持续巩固的枢纽港地位、持续优化的营商环境和制度创新，上海正凝聚各方力量，加快打造全球领先的国际航运中心。感谢您对公司的关注。</w:t>
            </w:r>
          </w:p>
          <w:p w14:paraId="0B31C91E">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12、公司对于邮储银行、上海银行等长期股权投资的每年分红收益是否计入母公司利润表？鉴于股权投资大部分为上海本地企业，企业对其是否有未来战略性考量，公司是否有意愿未来出售这部分股权？</w:t>
            </w:r>
          </w:p>
          <w:p w14:paraId="7E2A86B0">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公司对于上海银行等采用权益法核算的长期股权投资，根据被投资单位实现的净利润或经调整的净利润计算应享有的份额，计入利润表“投资收益”同时计入“长期股权投资”；在被投资单位宣告发放现金股利或利润时，冲减“长期股权投资”。感谢您对公司的关注。</w:t>
            </w:r>
          </w:p>
          <w:p w14:paraId="401FDA1A">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13、公司章程承诺分红政策，每年不少于利润的50%分红，不能只按港口营业的利润分红，应计算包含投资所得利润共132.8亿的50%以上分红才合理，分红应不少于66.4亿元，这样明显违约。</w:t>
            </w:r>
          </w:p>
          <w:p w14:paraId="264F5A7A">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根据《上海证券交易所股票上市规则》的相关规定，上市公司制定利润分配方案时，应当以母公司报表中可供分配利润为依据。公司2024年度现金分红（包括半年度分配的现金红利）总额约为45.40亿元（含税），占公司当年可分配利润75.04亿元的比例超过60%。感谢您对公司的关注。</w:t>
            </w:r>
          </w:p>
          <w:p w14:paraId="2F2292DC">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14、公司为何不回购股份？</w:t>
            </w:r>
          </w:p>
          <w:p w14:paraId="7A024E00">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尊敬的投资者，您好。公司统筹考虑发展战略、项目重大资金支出安排等情况，目前无回购计划。感谢您对公司的关注。</w:t>
            </w:r>
          </w:p>
          <w:p w14:paraId="409214EE">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15、万亿市值何时实现？</w:t>
            </w:r>
          </w:p>
          <w:p w14:paraId="52B8092D">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尊敬的投资者，您好。我们于今年制定并实施了公司市值管理制度，我们将持续聚焦主业、强化核心竞争力，不断提升公司价值。感谢您对公司的关注。</w:t>
            </w:r>
          </w:p>
          <w:p w14:paraId="6DF2B798">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16、2025 年上半年，公司吞吐量达到 2706.5 万标准箱，这是否包含九江港、平湖独山港、连云港、太仓港等联营、合营的吞吐量数据？</w:t>
            </w:r>
          </w:p>
          <w:p w14:paraId="05412DAF">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尊敬的投资者，您好。公司上半年集装箱吞吐量2706.5万标准箱，仅指上海母港集装箱吞吐量。感谢您对公司的关注。</w:t>
            </w:r>
          </w:p>
          <w:p w14:paraId="3C5140F4">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17、公司持续深化国资国企改革提升行动，是否已有具体的“十五五”规划？</w:t>
            </w:r>
          </w:p>
          <w:p w14:paraId="552E4AE7">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公司持续深化国资国企改革提升行动，致力于打造全球卓越码头运营商和港口物流服务商。目前，公司正积极开展“十五五”战略规划编制，在“十四五”评估的基础上，研判国内外宏观经贸、港航形势，谋划“十五五”战略目标、重点任务和举措。感谢您对公司的关注。</w:t>
            </w:r>
          </w:p>
          <w:p w14:paraId="1660438A">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18、公司锚定打造世界一流航运枢纽，着力在科技、区域、业态三个方面实现新突破，请问公司是否加大力度引进智慧物流、人工智能、大数据、航运金融等领域的高端人才？</w:t>
            </w:r>
          </w:p>
          <w:p w14:paraId="1489AE8C">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人才是企业发展的第一资源。公司聚焦“成为全球卓越的码头运营商和港口物流服务商”愿景目标，将继续加大力度引进人工智能、大数据运用、绿色能源、航运金融等领域的高端人才，为实现公司在智慧、绿色、科技、效率的转型发展储备人才。感谢您对公司的关注。</w:t>
            </w:r>
          </w:p>
          <w:p w14:paraId="3687984D">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19、上港集团在加快服务贸易创新方面，有什么举措？</w:t>
            </w:r>
          </w:p>
          <w:p w14:paraId="5983F15D">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公司主要通过数字化、智能化、绿色化转型发展加快服务贸易创新，包括传统码头自动化改造、发展智能化管理系统，以及推进岸电的使用、发展新能源加注等具体措施，此外，公司也在大力发展中转集拼和跨境电商业务。感谢您对公司的关注。</w:t>
            </w:r>
          </w:p>
          <w:p w14:paraId="63A327A8">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20、虽然公司2025上半年的ROIC与ROE表现仍较好，但近年该两指标均呈现下降趋势，请问，公司未来的资本布局和债务安排，是否会致力于提升资本使用效率。</w:t>
            </w:r>
          </w:p>
          <w:p w14:paraId="0C3D6101">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公司一直致力于提升资本使用效率，在债务融资方面，公司具备丰富的融资渠道和充足的授信额度，且融资成本长期处于低位，这为我们优化资本结构提供了良好条件。我们会根据资本支出需求，并结合公司自有资金状况，科学合理地进行债务配置。对于重大项目建设资金需求，我们拥有固定资产项目贷款、发行债券等多种融资方式，会依据市场情况和融资条件灵活选择，确保以最优成本获取资金，从而进一步提升资本使用效率，为股东创造更大价值。感谢您对公司的关注。</w:t>
            </w:r>
          </w:p>
          <w:p w14:paraId="70C5BC5B">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21、请问公司有参与低空经济的建设吗？</w:t>
            </w:r>
          </w:p>
          <w:p w14:paraId="4C86C609">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低空经济是一种新型的综合性经济形态，随着产业与科技的日益革新，相关产业越来越受到各界关注。公司积极关注这一领域的发展态势，并积极研究港区低空经济的应用场景。感谢您对公司的关注。</w:t>
            </w:r>
          </w:p>
          <w:p w14:paraId="7706AB69">
            <w:pPr>
              <w:pStyle w:val="8"/>
              <w:spacing w:line="460" w:lineRule="exact"/>
              <w:rPr>
                <w:rFonts w:asciiTheme="minorEastAsia" w:hAnsiTheme="minorEastAsia" w:eastAsiaTheme="minorEastAsia"/>
                <w:b w:val="0"/>
                <w:bCs/>
                <w:sz w:val="24"/>
                <w:szCs w:val="24"/>
              </w:rPr>
            </w:pPr>
            <w:r>
              <w:rPr>
                <w:rFonts w:asciiTheme="minorEastAsia" w:hAnsiTheme="minorEastAsia" w:eastAsiaTheme="minorEastAsia"/>
                <w:b w:val="0"/>
                <w:bCs/>
                <w:sz w:val="24"/>
                <w:szCs w:val="24"/>
              </w:rPr>
              <w:t>22、请问公司未来有股份回购和股权激励计划吗</w:t>
            </w:r>
          </w:p>
          <w:p w14:paraId="51CB7265">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一是公司目前无回购计划。二是为吸引、激励和留住对公司发展有重要影响和贡献的核心人员，充分调动公司核心技术骨干和管理人员的积极性、责任感和使命感，进一步完善公司的法人治理结构，建立股东与经营者之间的利益共享与风险共担机制，公司于2021年实施了A股限制性股票激励计划，该计划的有效期为自首次授予的限制性股票登记完成之日起至激励对象所获授的限制性股票全部解除限售或回购完毕之日止，目前该计划处于有效期内。感谢您对公司的关注。</w:t>
            </w:r>
          </w:p>
          <w:p w14:paraId="335EF2EA">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23、</w:t>
            </w:r>
            <w:r>
              <w:rPr>
                <w:rFonts w:asciiTheme="minorEastAsia" w:hAnsiTheme="minorEastAsia" w:eastAsiaTheme="minorEastAsia"/>
                <w:b w:val="0"/>
                <w:bCs/>
                <w:sz w:val="24"/>
                <w:szCs w:val="24"/>
              </w:rPr>
              <w:t>请问公司国际业务与国内业务营收分别占比多少，国际业务有进一步布局海外的计划吗？</w:t>
            </w:r>
          </w:p>
          <w:p w14:paraId="437186B8">
            <w:pPr>
              <w:pStyle w:val="8"/>
              <w:spacing w:line="460" w:lineRule="exact"/>
              <w:ind w:left="-2" w:leftChars="-1" w:firstLine="480"/>
              <w:rPr>
                <w:rFonts w:asciiTheme="minorEastAsia" w:hAnsiTheme="minorEastAsia" w:eastAsiaTheme="minorEastAsia"/>
                <w:b w:val="0"/>
                <w:bCs/>
                <w:sz w:val="24"/>
                <w:szCs w:val="24"/>
              </w:rPr>
            </w:pPr>
            <w:r>
              <w:rPr>
                <w:rFonts w:asciiTheme="minorEastAsia" w:hAnsiTheme="minorEastAsia" w:eastAsiaTheme="minorEastAsia"/>
                <w:b w:val="0"/>
                <w:bCs/>
                <w:sz w:val="24"/>
                <w:szCs w:val="24"/>
              </w:rPr>
              <w:t>尊敬的投资者，您好。2025年上半年，公司实现营业收入195.69亿元，其中：境内收入占比98.04%，境外收入占比1.96%。公司重视国际化业务，积极探索业务、技术、管理、资本合作走出去等新模式，服务国家重大战略实施。感谢</w:t>
            </w:r>
            <w:bookmarkStart w:id="0" w:name="_GoBack"/>
            <w:bookmarkEnd w:id="0"/>
            <w:r>
              <w:rPr>
                <w:rFonts w:asciiTheme="minorEastAsia" w:hAnsiTheme="minorEastAsia" w:eastAsiaTheme="minorEastAsia"/>
                <w:b w:val="0"/>
                <w:bCs/>
                <w:sz w:val="24"/>
                <w:szCs w:val="24"/>
              </w:rPr>
              <w:t>您对公司的关注。</w:t>
            </w:r>
          </w:p>
          <w:p w14:paraId="5D143A2A">
            <w:pPr>
              <w:pStyle w:val="8"/>
              <w:snapToGrid w:val="0"/>
              <w:spacing w:line="300" w:lineRule="auto"/>
              <w:ind w:firstLine="480"/>
              <w:rPr>
                <w:rFonts w:asciiTheme="minorEastAsia" w:hAnsiTheme="minorEastAsia" w:eastAsiaTheme="minorEastAsia"/>
                <w:sz w:val="24"/>
                <w:szCs w:val="24"/>
              </w:rPr>
            </w:pPr>
          </w:p>
          <w:p w14:paraId="35AFFB8D">
            <w:pPr>
              <w:pStyle w:val="8"/>
              <w:snapToGrid w:val="0"/>
              <w:spacing w:line="300" w:lineRule="auto"/>
              <w:ind w:left="-2" w:leftChars="-1" w:firstLine="480"/>
              <w:rPr>
                <w:rFonts w:asciiTheme="minorEastAsia" w:hAnsiTheme="minorEastAsia" w:eastAsiaTheme="minorEastAsia"/>
                <w:bCs/>
                <w:iCs/>
                <w:color w:val="000000"/>
                <w:sz w:val="24"/>
                <w:szCs w:val="24"/>
              </w:rPr>
            </w:pPr>
            <w:r>
              <w:rPr>
                <w:rFonts w:hint="eastAsia" w:ascii="宋体" w:hAnsi="宋体" w:cs="仿宋_GB2312"/>
                <w:color w:val="000000"/>
                <w:kern w:val="0"/>
                <w:sz w:val="24"/>
              </w:rPr>
              <w:t>注：</w:t>
            </w:r>
            <w:r>
              <w:rPr>
                <w:rFonts w:ascii="宋体" w:hAnsi="宋体" w:cs="仿宋_GB2312"/>
                <w:color w:val="000000"/>
                <w:kern w:val="0"/>
                <w:sz w:val="24"/>
              </w:rPr>
              <w:t>投资者可以通过“全景路演”网站</w:t>
            </w:r>
            <w:r>
              <w:rPr>
                <w:rFonts w:hint="eastAsia" w:ascii="宋体" w:hAnsi="宋体" w:cs="仿宋_GB2312"/>
                <w:color w:val="000000"/>
                <w:kern w:val="0"/>
                <w:sz w:val="24"/>
              </w:rPr>
              <w:t>或关注微信公众号全景财经或下载全景路演APP，</w:t>
            </w:r>
            <w:r>
              <w:rPr>
                <w:rFonts w:ascii="宋体" w:hAnsi="宋体" w:cs="仿宋_GB2312"/>
                <w:color w:val="000000"/>
                <w:kern w:val="0"/>
                <w:sz w:val="24"/>
              </w:rPr>
              <w:t>查看本次业绩说明会的召开情况及主要内容。</w:t>
            </w:r>
          </w:p>
        </w:tc>
      </w:tr>
      <w:tr w14:paraId="721F8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center"/>
          </w:tcPr>
          <w:p w14:paraId="17F14864">
            <w:pPr>
              <w:snapToGrid w:val="0"/>
              <w:rPr>
                <w:rFonts w:asciiTheme="minorEastAsia" w:hAnsiTheme="minorEastAsia" w:eastAsiaTheme="minorEastAsia"/>
                <w:bCs/>
                <w:iCs/>
                <w:color w:val="000000"/>
                <w:kern w:val="0"/>
                <w:sz w:val="24"/>
              </w:rPr>
            </w:pPr>
            <w:r>
              <w:rPr>
                <w:rFonts w:asciiTheme="minorEastAsia" w:hAnsiTheme="minorEastAsia" w:eastAsiaTheme="minorEastAsia"/>
                <w:bCs/>
                <w:iCs/>
                <w:color w:val="000000"/>
                <w:kern w:val="0"/>
                <w:sz w:val="24"/>
              </w:rPr>
              <w:t>关于本次活动是否涉及应披露重大信息的说明</w:t>
            </w:r>
          </w:p>
        </w:tc>
        <w:tc>
          <w:tcPr>
            <w:tcW w:w="7229" w:type="dxa"/>
            <w:tcBorders>
              <w:top w:val="single" w:color="auto" w:sz="4" w:space="0"/>
              <w:left w:val="single" w:color="auto" w:sz="4" w:space="0"/>
              <w:bottom w:val="single" w:color="auto" w:sz="4" w:space="0"/>
              <w:right w:val="single" w:color="auto" w:sz="4" w:space="0"/>
            </w:tcBorders>
            <w:vAlign w:val="center"/>
          </w:tcPr>
          <w:p w14:paraId="4D8F3212">
            <w:pPr>
              <w:pStyle w:val="8"/>
              <w:snapToGrid w:val="0"/>
              <w:spacing w:line="300" w:lineRule="auto"/>
              <w:ind w:left="-2" w:leftChars="-1" w:firstLine="480"/>
              <w:rPr>
                <w:rFonts w:asciiTheme="minorEastAsia" w:hAnsiTheme="minorEastAsia" w:eastAsiaTheme="minorEastAsia"/>
                <w:bCs/>
                <w:iCs/>
                <w:color w:val="000000"/>
                <w:sz w:val="24"/>
                <w:szCs w:val="24"/>
              </w:rPr>
            </w:pPr>
            <w:r>
              <w:rPr>
                <w:rFonts w:asciiTheme="minorEastAsia" w:hAnsiTheme="minorEastAsia" w:eastAsiaTheme="minorEastAsia"/>
                <w:sz w:val="24"/>
                <w:szCs w:val="24"/>
              </w:rPr>
              <w:t>业绩说明会召开过程中，公司严格按照有关制度要求，没有出现未公开重大信息泄露等情况。</w:t>
            </w:r>
          </w:p>
        </w:tc>
      </w:tr>
    </w:tbl>
    <w:p w14:paraId="74722F53"/>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12FFCF">
    <w:pPr>
      <w:pStyle w:val="4"/>
      <w:pBdr>
        <w:bottom w:val="none" w:color="auto" w:sz="0" w:space="0"/>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1C7"/>
    <w:rsid w:val="000268C0"/>
    <w:rsid w:val="000363B5"/>
    <w:rsid w:val="000375D7"/>
    <w:rsid w:val="00043015"/>
    <w:rsid w:val="00046DDE"/>
    <w:rsid w:val="00047EB9"/>
    <w:rsid w:val="00060A74"/>
    <w:rsid w:val="00067110"/>
    <w:rsid w:val="0009298A"/>
    <w:rsid w:val="000A2808"/>
    <w:rsid w:val="000A3BAC"/>
    <w:rsid w:val="000C26FD"/>
    <w:rsid w:val="000C2D85"/>
    <w:rsid w:val="000E5700"/>
    <w:rsid w:val="000F0C4B"/>
    <w:rsid w:val="000F0E22"/>
    <w:rsid w:val="00105A04"/>
    <w:rsid w:val="001169A9"/>
    <w:rsid w:val="00125EB2"/>
    <w:rsid w:val="00142A4C"/>
    <w:rsid w:val="00144279"/>
    <w:rsid w:val="001452FF"/>
    <w:rsid w:val="0016617A"/>
    <w:rsid w:val="00167E99"/>
    <w:rsid w:val="001975AB"/>
    <w:rsid w:val="001A00F5"/>
    <w:rsid w:val="001A1F65"/>
    <w:rsid w:val="001A5CE9"/>
    <w:rsid w:val="001B52ED"/>
    <w:rsid w:val="001C50AD"/>
    <w:rsid w:val="001D22EE"/>
    <w:rsid w:val="001D4C89"/>
    <w:rsid w:val="001E1838"/>
    <w:rsid w:val="001E3145"/>
    <w:rsid w:val="001E6509"/>
    <w:rsid w:val="001E7968"/>
    <w:rsid w:val="0022180A"/>
    <w:rsid w:val="00223ABC"/>
    <w:rsid w:val="002241B9"/>
    <w:rsid w:val="002274D9"/>
    <w:rsid w:val="0023455A"/>
    <w:rsid w:val="00237994"/>
    <w:rsid w:val="002402DE"/>
    <w:rsid w:val="00251D58"/>
    <w:rsid w:val="002530EE"/>
    <w:rsid w:val="002549E6"/>
    <w:rsid w:val="00256602"/>
    <w:rsid w:val="00271C8D"/>
    <w:rsid w:val="00273B53"/>
    <w:rsid w:val="0028080C"/>
    <w:rsid w:val="00286458"/>
    <w:rsid w:val="00295257"/>
    <w:rsid w:val="00297703"/>
    <w:rsid w:val="002A0826"/>
    <w:rsid w:val="002A0984"/>
    <w:rsid w:val="002A589B"/>
    <w:rsid w:val="002B1184"/>
    <w:rsid w:val="002B556B"/>
    <w:rsid w:val="002B71B8"/>
    <w:rsid w:val="002B7469"/>
    <w:rsid w:val="002C22C6"/>
    <w:rsid w:val="002C6568"/>
    <w:rsid w:val="002C723B"/>
    <w:rsid w:val="002D39BC"/>
    <w:rsid w:val="002E1B15"/>
    <w:rsid w:val="002E1D3A"/>
    <w:rsid w:val="003005F0"/>
    <w:rsid w:val="003030BF"/>
    <w:rsid w:val="00304F89"/>
    <w:rsid w:val="00306023"/>
    <w:rsid w:val="00327D5D"/>
    <w:rsid w:val="00344914"/>
    <w:rsid w:val="00346917"/>
    <w:rsid w:val="00354A7B"/>
    <w:rsid w:val="00360FDA"/>
    <w:rsid w:val="00363075"/>
    <w:rsid w:val="00367D18"/>
    <w:rsid w:val="00372A1C"/>
    <w:rsid w:val="0037435A"/>
    <w:rsid w:val="00377D8F"/>
    <w:rsid w:val="00383679"/>
    <w:rsid w:val="003A1E68"/>
    <w:rsid w:val="003B0122"/>
    <w:rsid w:val="003B0BE5"/>
    <w:rsid w:val="003D18F1"/>
    <w:rsid w:val="003E001E"/>
    <w:rsid w:val="003F7C4D"/>
    <w:rsid w:val="0040075F"/>
    <w:rsid w:val="00403300"/>
    <w:rsid w:val="004118C0"/>
    <w:rsid w:val="00417A31"/>
    <w:rsid w:val="0042004B"/>
    <w:rsid w:val="00422329"/>
    <w:rsid w:val="00433384"/>
    <w:rsid w:val="0043777D"/>
    <w:rsid w:val="0045767F"/>
    <w:rsid w:val="00463E9B"/>
    <w:rsid w:val="00467414"/>
    <w:rsid w:val="00473F30"/>
    <w:rsid w:val="0048591A"/>
    <w:rsid w:val="00486D86"/>
    <w:rsid w:val="0048721A"/>
    <w:rsid w:val="004A0BD5"/>
    <w:rsid w:val="004A1BBF"/>
    <w:rsid w:val="004A6FD2"/>
    <w:rsid w:val="004A73E5"/>
    <w:rsid w:val="004C19BF"/>
    <w:rsid w:val="004D105E"/>
    <w:rsid w:val="004D7640"/>
    <w:rsid w:val="004E1A9B"/>
    <w:rsid w:val="00500AB6"/>
    <w:rsid w:val="0051234C"/>
    <w:rsid w:val="005155FB"/>
    <w:rsid w:val="00523907"/>
    <w:rsid w:val="00537C53"/>
    <w:rsid w:val="005438F5"/>
    <w:rsid w:val="00544901"/>
    <w:rsid w:val="005474D3"/>
    <w:rsid w:val="00550737"/>
    <w:rsid w:val="00555DD2"/>
    <w:rsid w:val="00565ED9"/>
    <w:rsid w:val="005760C6"/>
    <w:rsid w:val="00585A1B"/>
    <w:rsid w:val="00591260"/>
    <w:rsid w:val="00591314"/>
    <w:rsid w:val="00593D40"/>
    <w:rsid w:val="00595F1B"/>
    <w:rsid w:val="005A3BE0"/>
    <w:rsid w:val="005B1026"/>
    <w:rsid w:val="005B642F"/>
    <w:rsid w:val="005C04C1"/>
    <w:rsid w:val="005C1785"/>
    <w:rsid w:val="005D2D87"/>
    <w:rsid w:val="005D6A09"/>
    <w:rsid w:val="005E2B4B"/>
    <w:rsid w:val="005E5F63"/>
    <w:rsid w:val="005E6BA1"/>
    <w:rsid w:val="0060779A"/>
    <w:rsid w:val="00622F13"/>
    <w:rsid w:val="00625503"/>
    <w:rsid w:val="0062662D"/>
    <w:rsid w:val="00632E78"/>
    <w:rsid w:val="006344F1"/>
    <w:rsid w:val="00637186"/>
    <w:rsid w:val="00646DF4"/>
    <w:rsid w:val="00651DE6"/>
    <w:rsid w:val="006523BB"/>
    <w:rsid w:val="0065347E"/>
    <w:rsid w:val="00654B49"/>
    <w:rsid w:val="00662505"/>
    <w:rsid w:val="0066674C"/>
    <w:rsid w:val="006760F7"/>
    <w:rsid w:val="006861C7"/>
    <w:rsid w:val="00686DDF"/>
    <w:rsid w:val="00697B12"/>
    <w:rsid w:val="006A55BB"/>
    <w:rsid w:val="006A7613"/>
    <w:rsid w:val="006B661A"/>
    <w:rsid w:val="006B7D00"/>
    <w:rsid w:val="006C0095"/>
    <w:rsid w:val="006C6BC5"/>
    <w:rsid w:val="006D61A2"/>
    <w:rsid w:val="006E1DB4"/>
    <w:rsid w:val="00753DB6"/>
    <w:rsid w:val="00763847"/>
    <w:rsid w:val="00771FE3"/>
    <w:rsid w:val="00776BDE"/>
    <w:rsid w:val="00786870"/>
    <w:rsid w:val="00792237"/>
    <w:rsid w:val="0079272A"/>
    <w:rsid w:val="007A1DA9"/>
    <w:rsid w:val="007B2252"/>
    <w:rsid w:val="007B79D9"/>
    <w:rsid w:val="007C67B1"/>
    <w:rsid w:val="007E354A"/>
    <w:rsid w:val="007E69C8"/>
    <w:rsid w:val="0080525B"/>
    <w:rsid w:val="008062C5"/>
    <w:rsid w:val="0080741A"/>
    <w:rsid w:val="00814B5B"/>
    <w:rsid w:val="00836F34"/>
    <w:rsid w:val="00843E73"/>
    <w:rsid w:val="00844EBF"/>
    <w:rsid w:val="00854F61"/>
    <w:rsid w:val="00864202"/>
    <w:rsid w:val="00873B59"/>
    <w:rsid w:val="0087701F"/>
    <w:rsid w:val="0089283D"/>
    <w:rsid w:val="008A0ADC"/>
    <w:rsid w:val="008A1BAB"/>
    <w:rsid w:val="008B38B7"/>
    <w:rsid w:val="008B458E"/>
    <w:rsid w:val="008C4D4A"/>
    <w:rsid w:val="008E11AE"/>
    <w:rsid w:val="008E1708"/>
    <w:rsid w:val="008E4844"/>
    <w:rsid w:val="00904492"/>
    <w:rsid w:val="00904DFB"/>
    <w:rsid w:val="0091457B"/>
    <w:rsid w:val="00923763"/>
    <w:rsid w:val="00930ED6"/>
    <w:rsid w:val="0093293F"/>
    <w:rsid w:val="00933105"/>
    <w:rsid w:val="009474EF"/>
    <w:rsid w:val="00962626"/>
    <w:rsid w:val="009767DD"/>
    <w:rsid w:val="00977AF2"/>
    <w:rsid w:val="00985FC5"/>
    <w:rsid w:val="00993BDD"/>
    <w:rsid w:val="009A6DFB"/>
    <w:rsid w:val="009B6EC0"/>
    <w:rsid w:val="009C7FAF"/>
    <w:rsid w:val="009D4199"/>
    <w:rsid w:val="009E5E6A"/>
    <w:rsid w:val="009F0DD5"/>
    <w:rsid w:val="009F1B95"/>
    <w:rsid w:val="009F6C05"/>
    <w:rsid w:val="00A13CB6"/>
    <w:rsid w:val="00A14A1A"/>
    <w:rsid w:val="00A22CDD"/>
    <w:rsid w:val="00A25AEE"/>
    <w:rsid w:val="00A31EB1"/>
    <w:rsid w:val="00A33AEA"/>
    <w:rsid w:val="00A461CD"/>
    <w:rsid w:val="00A469C5"/>
    <w:rsid w:val="00A5317D"/>
    <w:rsid w:val="00A6284E"/>
    <w:rsid w:val="00A63E81"/>
    <w:rsid w:val="00A8775A"/>
    <w:rsid w:val="00AA5998"/>
    <w:rsid w:val="00AB07E7"/>
    <w:rsid w:val="00AD1BA8"/>
    <w:rsid w:val="00B02A29"/>
    <w:rsid w:val="00B03522"/>
    <w:rsid w:val="00B04AD6"/>
    <w:rsid w:val="00B14CAA"/>
    <w:rsid w:val="00B257CE"/>
    <w:rsid w:val="00B4746C"/>
    <w:rsid w:val="00B65354"/>
    <w:rsid w:val="00B71A0E"/>
    <w:rsid w:val="00B81765"/>
    <w:rsid w:val="00B832F5"/>
    <w:rsid w:val="00BA2FAB"/>
    <w:rsid w:val="00BB5E28"/>
    <w:rsid w:val="00BD15F3"/>
    <w:rsid w:val="00BD7986"/>
    <w:rsid w:val="00BD79D3"/>
    <w:rsid w:val="00C04F82"/>
    <w:rsid w:val="00C15AC0"/>
    <w:rsid w:val="00C26030"/>
    <w:rsid w:val="00C41091"/>
    <w:rsid w:val="00C63056"/>
    <w:rsid w:val="00C661D1"/>
    <w:rsid w:val="00C775BA"/>
    <w:rsid w:val="00C85331"/>
    <w:rsid w:val="00C85A50"/>
    <w:rsid w:val="00C94D46"/>
    <w:rsid w:val="00CA443A"/>
    <w:rsid w:val="00CB2461"/>
    <w:rsid w:val="00CB37FD"/>
    <w:rsid w:val="00CC4D65"/>
    <w:rsid w:val="00CC61E7"/>
    <w:rsid w:val="00CD25AD"/>
    <w:rsid w:val="00CD3FFC"/>
    <w:rsid w:val="00CF565C"/>
    <w:rsid w:val="00D016A3"/>
    <w:rsid w:val="00D512E3"/>
    <w:rsid w:val="00D602C9"/>
    <w:rsid w:val="00DA26A9"/>
    <w:rsid w:val="00DB01FF"/>
    <w:rsid w:val="00DC7778"/>
    <w:rsid w:val="00DE7391"/>
    <w:rsid w:val="00DF2DB5"/>
    <w:rsid w:val="00DF6560"/>
    <w:rsid w:val="00E04CC0"/>
    <w:rsid w:val="00E136FF"/>
    <w:rsid w:val="00E32528"/>
    <w:rsid w:val="00E35F26"/>
    <w:rsid w:val="00E53165"/>
    <w:rsid w:val="00E61EF7"/>
    <w:rsid w:val="00E663B4"/>
    <w:rsid w:val="00E80CEB"/>
    <w:rsid w:val="00EA5103"/>
    <w:rsid w:val="00EA6FB9"/>
    <w:rsid w:val="00EB5E6A"/>
    <w:rsid w:val="00EC2AD7"/>
    <w:rsid w:val="00ED7DE0"/>
    <w:rsid w:val="00EE7891"/>
    <w:rsid w:val="00EF49FE"/>
    <w:rsid w:val="00EF5341"/>
    <w:rsid w:val="00F04908"/>
    <w:rsid w:val="00F07C21"/>
    <w:rsid w:val="00F12EF6"/>
    <w:rsid w:val="00F21065"/>
    <w:rsid w:val="00F24CB4"/>
    <w:rsid w:val="00F43465"/>
    <w:rsid w:val="00F45475"/>
    <w:rsid w:val="00F64E72"/>
    <w:rsid w:val="00F70C7D"/>
    <w:rsid w:val="00F9272E"/>
    <w:rsid w:val="00F97743"/>
    <w:rsid w:val="00FA6DAF"/>
    <w:rsid w:val="00FC6884"/>
    <w:rsid w:val="00FE62F3"/>
    <w:rsid w:val="00FF71D2"/>
    <w:rsid w:val="051909BA"/>
    <w:rsid w:val="0E1F0038"/>
    <w:rsid w:val="1B2418A5"/>
    <w:rsid w:val="1FBFC074"/>
    <w:rsid w:val="36FB9E1F"/>
    <w:rsid w:val="3BFA3B96"/>
    <w:rsid w:val="3CEF3472"/>
    <w:rsid w:val="3EFF16E9"/>
    <w:rsid w:val="6A260B2B"/>
    <w:rsid w:val="708F2BC6"/>
    <w:rsid w:val="77CF73AC"/>
    <w:rsid w:val="78FF0116"/>
    <w:rsid w:val="B7DDD54D"/>
    <w:rsid w:val="E3FFE6ED"/>
    <w:rsid w:val="F5DB8A63"/>
    <w:rsid w:val="F797912E"/>
    <w:rsid w:val="FE7B4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4"/>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customStyle="1" w:styleId="8">
    <w:name w:val="_Style 6"/>
    <w:basedOn w:val="1"/>
    <w:qFormat/>
    <w:uiPriority w:val="34"/>
    <w:pPr>
      <w:ind w:firstLine="420" w:firstLineChars="200"/>
    </w:pPr>
    <w:rPr>
      <w:rFonts w:ascii="Calibri" w:hAnsi="Calibri"/>
      <w:szCs w:val="22"/>
    </w:rPr>
  </w:style>
  <w:style w:type="paragraph" w:customStyle="1" w:styleId="9">
    <w:name w:val="Char Char Char"/>
    <w:basedOn w:val="1"/>
    <w:qFormat/>
    <w:uiPriority w:val="0"/>
    <w:rPr>
      <w:szCs w:val="21"/>
    </w:rPr>
  </w:style>
  <w:style w:type="paragraph" w:customStyle="1" w:styleId="10">
    <w:name w:val="Char Char Char Char Char Char Char Char Char Char Char Char Char Char Char Char"/>
    <w:basedOn w:val="1"/>
    <w:qFormat/>
    <w:uiPriority w:val="0"/>
  </w:style>
  <w:style w:type="paragraph" w:customStyle="1" w:styleId="11">
    <w:name w:val="Char Char Char1"/>
    <w:basedOn w:val="1"/>
    <w:qFormat/>
    <w:uiPriority w:val="0"/>
  </w:style>
  <w:style w:type="character" w:customStyle="1" w:styleId="12">
    <w:name w:val="页脚 Char"/>
    <w:basedOn w:val="7"/>
    <w:link w:val="3"/>
    <w:qFormat/>
    <w:uiPriority w:val="0"/>
    <w:rPr>
      <w:kern w:val="2"/>
      <w:sz w:val="18"/>
      <w:szCs w:val="18"/>
    </w:rPr>
  </w:style>
  <w:style w:type="character" w:customStyle="1" w:styleId="13">
    <w:name w:val="页眉 Char"/>
    <w:basedOn w:val="7"/>
    <w:link w:val="4"/>
    <w:qFormat/>
    <w:uiPriority w:val="0"/>
    <w:rPr>
      <w:kern w:val="2"/>
      <w:sz w:val="18"/>
      <w:szCs w:val="18"/>
    </w:rPr>
  </w:style>
  <w:style w:type="character" w:customStyle="1" w:styleId="14">
    <w:name w:val="批注框文本 Char"/>
    <w:basedOn w:val="7"/>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7</Pages>
  <Words>3365</Words>
  <Characters>3486</Characters>
  <Lines>26</Lines>
  <Paragraphs>7</Paragraphs>
  <TotalTime>1</TotalTime>
  <ScaleCrop>false</ScaleCrop>
  <LinksUpToDate>false</LinksUpToDate>
  <CharactersWithSpaces>3617</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2012-09-09T08:59:00Z</dcterms:created>
  <dc:creator>微软用户</dc:creator>
  <cp:lastModifiedBy>QXY</cp:lastModifiedBy>
  <cp:lastPrinted>2014-02-21T05:34:00Z</cp:lastPrinted>
  <dcterms:modified xsi:type="dcterms:W3CDTF">2025-10-20T08:54:09Z</dcterms:modified>
  <cp:revision>268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AA6D2F2CB6564CD09800256AFFB14E3D_13</vt:lpwstr>
  </property>
  <property fmtid="{D5CDD505-2E9C-101B-9397-08002B2CF9AE}" pid="4" name="KSOTemplateDocerSaveRecord">
    <vt:lpwstr>eyJoZGlkIjoiZmY2NDQyYmVmNWI3MzQ2NTg3OWE5MzUxNmIzYTU1YzkiLCJ1c2VySWQiOiIxMjM4ODMxMDk0In0=</vt:lpwstr>
  </property>
</Properties>
</file>