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00" w:lineRule="exact"/>
        <w:outlineLvl w:val="0"/>
        <w:rPr>
          <w:sz w:val="24"/>
        </w:rPr>
      </w:pPr>
      <w:r>
        <w:rPr>
          <w:rFonts w:hint="eastAsia"/>
          <w:sz w:val="24"/>
        </w:rPr>
        <w:t>证券代码：688036                                  证券简称：传音控股</w:t>
      </w:r>
    </w:p>
    <w:p>
      <w:pPr>
        <w:adjustRightInd w:val="0"/>
        <w:snapToGrid w:val="0"/>
        <w:spacing w:line="600" w:lineRule="exact"/>
        <w:rPr>
          <w:sz w:val="30"/>
          <w:szCs w:val="30"/>
        </w:rPr>
      </w:pPr>
    </w:p>
    <w:p>
      <w:pPr>
        <w:adjustRightInd w:val="0"/>
        <w:snapToGrid w:val="0"/>
        <w:spacing w:line="600" w:lineRule="exact"/>
        <w:jc w:val="center"/>
        <w:outlineLvl w:val="1"/>
        <w:rPr>
          <w:b/>
          <w:sz w:val="36"/>
          <w:szCs w:val="36"/>
        </w:rPr>
      </w:pPr>
      <w:r>
        <w:rPr>
          <w:rFonts w:hint="eastAsia"/>
          <w:b/>
          <w:sz w:val="36"/>
          <w:szCs w:val="36"/>
        </w:rPr>
        <w:t>深圳传音控股股份有限公司</w:t>
      </w:r>
    </w:p>
    <w:p>
      <w:pPr>
        <w:adjustRightInd w:val="0"/>
        <w:snapToGrid w:val="0"/>
        <w:spacing w:line="600" w:lineRule="exact"/>
        <w:jc w:val="center"/>
        <w:outlineLvl w:val="1"/>
        <w:rPr>
          <w:b/>
          <w:sz w:val="36"/>
          <w:szCs w:val="36"/>
        </w:rPr>
      </w:pPr>
      <w:r>
        <w:rPr>
          <w:rFonts w:hint="eastAsia"/>
          <w:b/>
          <w:sz w:val="36"/>
          <w:szCs w:val="36"/>
        </w:rPr>
        <w:t>投资者关系活动记录表</w:t>
      </w:r>
    </w:p>
    <w:p>
      <w:pPr>
        <w:adjustRightInd w:val="0"/>
        <w:snapToGrid w:val="0"/>
        <w:spacing w:line="600" w:lineRule="exact"/>
        <w:jc w:val="center"/>
        <w:outlineLvl w:val="1"/>
        <w:rPr>
          <w:b/>
          <w:sz w:val="24"/>
        </w:rPr>
      </w:pPr>
    </w:p>
    <w:tbl>
      <w:tblPr>
        <w:tblStyle w:val="19"/>
        <w:tblW w:w="86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7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adjustRightInd w:val="0"/>
              <w:spacing w:line="360" w:lineRule="auto"/>
              <w:contextualSpacing/>
              <w:rPr>
                <w:sz w:val="24"/>
              </w:rPr>
            </w:pPr>
            <w:r>
              <w:rPr>
                <w:rFonts w:hint="eastAsia"/>
                <w:sz w:val="24"/>
              </w:rPr>
              <w:t>投资者关系活动类别</w:t>
            </w:r>
          </w:p>
        </w:tc>
        <w:tc>
          <w:tcPr>
            <w:tcW w:w="7145" w:type="dxa"/>
          </w:tcPr>
          <w:p>
            <w:pPr>
              <w:adjustRightInd w:val="0"/>
              <w:spacing w:line="360" w:lineRule="auto"/>
              <w:contextualSpacing/>
              <w:rPr>
                <w:sz w:val="24"/>
              </w:rPr>
            </w:pPr>
            <w:r>
              <w:rPr>
                <w:rFonts w:hint="eastAsia"/>
                <w:sz w:val="24"/>
              </w:rPr>
              <w:sym w:font="Wingdings 2" w:char="00A3"/>
            </w:r>
            <w:r>
              <w:rPr>
                <w:rFonts w:hint="eastAsia"/>
                <w:sz w:val="24"/>
              </w:rPr>
              <w:t xml:space="preserve">特定对象调研             </w:t>
            </w:r>
            <w:r>
              <w:rPr>
                <w:rFonts w:hint="eastAsia"/>
                <w:sz w:val="24"/>
              </w:rPr>
              <w:sym w:font="Wingdings 2" w:char="00A3"/>
            </w:r>
            <w:r>
              <w:rPr>
                <w:rFonts w:hint="eastAsia"/>
                <w:sz w:val="24"/>
              </w:rPr>
              <w:t>分析师会议</w:t>
            </w:r>
          </w:p>
          <w:p>
            <w:pPr>
              <w:adjustRightInd w:val="0"/>
              <w:spacing w:line="360" w:lineRule="auto"/>
              <w:contextualSpacing/>
              <w:rPr>
                <w:sz w:val="24"/>
              </w:rPr>
            </w:pPr>
            <w:r>
              <w:rPr>
                <w:rFonts w:hint="eastAsia"/>
                <w:sz w:val="24"/>
              </w:rPr>
              <w:sym w:font="Wingdings 2" w:char="00A3"/>
            </w:r>
            <w:r>
              <w:rPr>
                <w:rFonts w:hint="eastAsia"/>
                <w:sz w:val="24"/>
              </w:rPr>
              <w:t xml:space="preserve">媒体采访                 </w:t>
            </w:r>
            <w:r>
              <w:rPr>
                <w:rFonts w:hint="eastAsia"/>
                <w:sz w:val="24"/>
              </w:rPr>
              <w:sym w:font="Wingdings 2" w:char="00A3"/>
            </w:r>
            <w:r>
              <w:rPr>
                <w:rFonts w:hint="eastAsia"/>
                <w:sz w:val="24"/>
              </w:rPr>
              <w:t>业绩说明会</w:t>
            </w:r>
          </w:p>
          <w:p>
            <w:pPr>
              <w:adjustRightInd w:val="0"/>
              <w:spacing w:line="360" w:lineRule="auto"/>
              <w:contextualSpacing/>
              <w:rPr>
                <w:sz w:val="24"/>
              </w:rPr>
            </w:pPr>
            <w:r>
              <w:rPr>
                <w:rFonts w:hint="eastAsia"/>
                <w:sz w:val="24"/>
              </w:rPr>
              <w:sym w:font="Wingdings 2" w:char="00A3"/>
            </w:r>
            <w:r>
              <w:rPr>
                <w:rFonts w:hint="eastAsia"/>
                <w:sz w:val="24"/>
              </w:rPr>
              <w:t xml:space="preserve">新闻发布会               </w:t>
            </w:r>
            <w:r>
              <w:rPr>
                <w:rFonts w:hint="eastAsia"/>
                <w:sz w:val="24"/>
              </w:rPr>
              <w:sym w:font="Wingdings 2" w:char="00A3"/>
            </w:r>
            <w:r>
              <w:rPr>
                <w:rFonts w:hint="eastAsia"/>
                <w:sz w:val="24"/>
              </w:rPr>
              <w:t>路演活动</w:t>
            </w:r>
          </w:p>
          <w:p>
            <w:pPr>
              <w:adjustRightInd w:val="0"/>
              <w:spacing w:line="360" w:lineRule="auto"/>
              <w:contextualSpacing/>
              <w:rPr>
                <w:sz w:val="24"/>
              </w:rPr>
            </w:pPr>
            <w:r>
              <w:rPr>
                <w:rFonts w:hint="eastAsia"/>
                <w:sz w:val="24"/>
              </w:rPr>
              <w:sym w:font="Wingdings 2" w:char="00A3"/>
            </w:r>
            <w:r>
              <w:rPr>
                <w:rFonts w:hint="eastAsia"/>
                <w:sz w:val="24"/>
              </w:rPr>
              <w:t xml:space="preserve">现场参观                 </w:t>
            </w:r>
            <w:r>
              <w:rPr>
                <w:rFonts w:hint="eastAsia"/>
                <w:sz w:val="24"/>
              </w:rPr>
              <w:sym w:font="Wingdings 2" w:char="00A3"/>
            </w:r>
            <w:r>
              <w:rPr>
                <w:rFonts w:hint="eastAsia"/>
                <w:sz w:val="24"/>
              </w:rPr>
              <w:t>一对一沟通</w:t>
            </w:r>
          </w:p>
          <w:p>
            <w:pPr>
              <w:adjustRightInd w:val="0"/>
              <w:spacing w:line="360" w:lineRule="auto"/>
              <w:contextualSpacing/>
              <w:rPr>
                <w:sz w:val="24"/>
              </w:rPr>
            </w:pPr>
            <w:r>
              <w:rPr>
                <w:rFonts w:hint="eastAsia"/>
                <w:sz w:val="24"/>
              </w:rPr>
              <w:sym w:font="Wingdings 2" w:char="0052"/>
            </w:r>
            <w:r>
              <w:rPr>
                <w:rFonts w:hint="eastAsia"/>
                <w:sz w:val="24"/>
              </w:rPr>
              <w:t>其他 电话会议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adjustRightInd w:val="0"/>
              <w:spacing w:line="360" w:lineRule="auto"/>
              <w:contextualSpacing/>
              <w:rPr>
                <w:sz w:val="24"/>
              </w:rPr>
            </w:pPr>
            <w:r>
              <w:rPr>
                <w:rFonts w:hint="eastAsia"/>
                <w:sz w:val="24"/>
              </w:rPr>
              <w:t>参与单位及人员</w:t>
            </w:r>
          </w:p>
        </w:tc>
        <w:tc>
          <w:tcPr>
            <w:tcW w:w="7145" w:type="dxa"/>
          </w:tcPr>
          <w:p>
            <w:pPr>
              <w:adjustRightInd w:val="0"/>
              <w:spacing w:line="360" w:lineRule="auto"/>
              <w:rPr>
                <w:sz w:val="24"/>
              </w:rPr>
            </w:pPr>
            <w:r>
              <w:rPr>
                <w:rFonts w:hint="eastAsia"/>
                <w:color w:val="000000"/>
                <w:sz w:val="24"/>
              </w:rPr>
              <w:t>138家机构164人次</w:t>
            </w:r>
            <w:r>
              <w:rPr>
                <w:rFonts w:hint="eastAsia"/>
                <w:sz w:val="24"/>
              </w:rPr>
              <w:t>（详见附件《与会清单》）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adjustRightInd w:val="0"/>
              <w:spacing w:line="360" w:lineRule="auto"/>
              <w:contextualSpacing/>
              <w:rPr>
                <w:sz w:val="24"/>
              </w:rPr>
            </w:pPr>
            <w:r>
              <w:rPr>
                <w:rFonts w:hint="eastAsia"/>
                <w:sz w:val="24"/>
              </w:rPr>
              <w:t>时间</w:t>
            </w:r>
          </w:p>
        </w:tc>
        <w:tc>
          <w:tcPr>
            <w:tcW w:w="7145" w:type="dxa"/>
          </w:tcPr>
          <w:p>
            <w:pPr>
              <w:adjustRightInd w:val="0"/>
              <w:spacing w:line="360" w:lineRule="auto"/>
              <w:rPr>
                <w:sz w:val="24"/>
              </w:rPr>
            </w:pPr>
            <w:r>
              <w:rPr>
                <w:rFonts w:hint="eastAsia"/>
                <w:sz w:val="24"/>
              </w:rPr>
              <w:t>2025年10月29</w:t>
            </w:r>
            <w:r>
              <w:rPr>
                <w:sz w:val="24"/>
              </w:rPr>
              <w:t>日</w:t>
            </w:r>
            <w:r>
              <w:rPr>
                <w:rFonts w:hint="eastAsia"/>
                <w:sz w:val="24"/>
              </w:rPr>
              <w:t>（周三）15：00-16：00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adjustRightInd w:val="0"/>
              <w:spacing w:line="360" w:lineRule="auto"/>
              <w:contextualSpacing/>
              <w:rPr>
                <w:sz w:val="24"/>
              </w:rPr>
            </w:pPr>
            <w:r>
              <w:rPr>
                <w:rFonts w:hint="eastAsia"/>
                <w:sz w:val="24"/>
              </w:rPr>
              <w:t>地点</w:t>
            </w:r>
          </w:p>
        </w:tc>
        <w:tc>
          <w:tcPr>
            <w:tcW w:w="7145" w:type="dxa"/>
          </w:tcPr>
          <w:p>
            <w:pPr>
              <w:adjustRightInd w:val="0"/>
              <w:spacing w:line="360" w:lineRule="auto"/>
              <w:contextualSpacing/>
              <w:rPr>
                <w:sz w:val="24"/>
              </w:rPr>
            </w:pPr>
            <w:r>
              <w:rPr>
                <w:rFonts w:hint="eastAsia"/>
                <w:sz w:val="24"/>
              </w:rPr>
              <w:t>线上会议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adjustRightInd w:val="0"/>
              <w:spacing w:line="360" w:lineRule="auto"/>
              <w:contextualSpacing/>
              <w:rPr>
                <w:sz w:val="24"/>
              </w:rPr>
            </w:pPr>
            <w:r>
              <w:rPr>
                <w:rFonts w:hint="eastAsia"/>
                <w:sz w:val="24"/>
              </w:rPr>
              <w:t>接待人员</w:t>
            </w:r>
          </w:p>
        </w:tc>
        <w:tc>
          <w:tcPr>
            <w:tcW w:w="7145" w:type="dxa"/>
          </w:tcPr>
          <w:p>
            <w:pPr>
              <w:adjustRightInd w:val="0"/>
              <w:spacing w:line="360" w:lineRule="auto"/>
              <w:contextualSpacing/>
              <w:rPr>
                <w:sz w:val="24"/>
              </w:rPr>
            </w:pPr>
            <w:r>
              <w:rPr>
                <w:rFonts w:hint="eastAsia"/>
                <w:sz w:val="24"/>
              </w:rPr>
              <w:t>传音控股  董事、副总经理  张祺</w:t>
            </w:r>
          </w:p>
          <w:p>
            <w:pPr>
              <w:adjustRightInd w:val="0"/>
              <w:spacing w:line="360" w:lineRule="auto"/>
              <w:contextualSpacing/>
              <w:rPr>
                <w:sz w:val="24"/>
              </w:rPr>
            </w:pPr>
            <w:r>
              <w:rPr>
                <w:rFonts w:hint="eastAsia"/>
                <w:sz w:val="24"/>
              </w:rPr>
              <w:t>传音控股  董事会秘书  曾春</w:t>
            </w:r>
          </w:p>
          <w:p>
            <w:pPr>
              <w:adjustRightInd w:val="0"/>
              <w:spacing w:line="360" w:lineRule="auto"/>
              <w:contextualSpacing/>
              <w:rPr>
                <w:sz w:val="24"/>
              </w:rPr>
            </w:pPr>
            <w:r>
              <w:rPr>
                <w:rFonts w:hint="eastAsia"/>
                <w:sz w:val="24"/>
              </w:rPr>
              <w:t>传音控股  投资者关系总监  梓轩</w:t>
            </w:r>
          </w:p>
          <w:p>
            <w:pPr>
              <w:adjustRightInd w:val="0"/>
              <w:spacing w:line="360" w:lineRule="auto"/>
              <w:contextualSpacing/>
              <w:rPr>
                <w:sz w:val="24"/>
              </w:rPr>
            </w:pPr>
            <w:r>
              <w:rPr>
                <w:rFonts w:hint="eastAsia"/>
                <w:sz w:val="24"/>
              </w:rPr>
              <w:t>传音控股  投资者关系经理  江凤玲</w:t>
            </w:r>
          </w:p>
          <w:p>
            <w:pPr>
              <w:adjustRightInd w:val="0"/>
              <w:spacing w:line="360" w:lineRule="auto"/>
              <w:contextualSpacing/>
              <w:rPr>
                <w:sz w:val="24"/>
              </w:rPr>
            </w:pPr>
            <w:r>
              <w:rPr>
                <w:rFonts w:hint="eastAsia"/>
                <w:sz w:val="24"/>
              </w:rPr>
              <w:t>传音控股  投资者关系主管  吕天赐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1526" w:type="dxa"/>
          </w:tcPr>
          <w:p>
            <w:pPr>
              <w:adjustRightInd w:val="0"/>
              <w:spacing w:line="360" w:lineRule="auto"/>
              <w:contextualSpacing/>
              <w:rPr>
                <w:sz w:val="24"/>
              </w:rPr>
            </w:pPr>
            <w:r>
              <w:rPr>
                <w:rFonts w:hint="eastAsia"/>
                <w:sz w:val="24"/>
              </w:rPr>
              <w:t>投资者关系活动主要内容介绍</w:t>
            </w:r>
          </w:p>
        </w:tc>
        <w:tc>
          <w:tcPr>
            <w:tcW w:w="7145" w:type="dxa"/>
          </w:tcPr>
          <w:p>
            <w:pPr>
              <w:spacing w:line="360" w:lineRule="auto"/>
              <w:ind w:firstLine="480" w:firstLineChars="200"/>
              <w:rPr>
                <w:sz w:val="24"/>
              </w:rPr>
            </w:pPr>
            <w:r>
              <w:rPr>
                <w:rFonts w:hint="eastAsia"/>
                <w:sz w:val="24"/>
              </w:rPr>
              <w:t>公司对2025年前三季度经营业绩情况做了简要的介绍。</w:t>
            </w:r>
          </w:p>
          <w:p>
            <w:pPr>
              <w:spacing w:line="360" w:lineRule="auto"/>
              <w:ind w:firstLine="482" w:firstLineChars="200"/>
              <w:rPr>
                <w:b/>
                <w:bCs/>
                <w:sz w:val="24"/>
              </w:rPr>
            </w:pPr>
            <w:r>
              <w:rPr>
                <w:rFonts w:hint="eastAsia"/>
                <w:b/>
                <w:bCs/>
                <w:sz w:val="24"/>
              </w:rPr>
              <w:t>1、存储涨价对公司供给端和销售端的影响？公司有哪些应对策略？后续毛利率趋势如何?</w:t>
            </w:r>
          </w:p>
          <w:p>
            <w:pPr>
              <w:spacing w:line="360" w:lineRule="auto"/>
              <w:ind w:firstLine="480" w:firstLineChars="200"/>
              <w:rPr>
                <w:sz w:val="24"/>
              </w:rPr>
            </w:pPr>
            <w:r>
              <w:rPr>
                <w:rFonts w:hint="eastAsia"/>
                <w:sz w:val="24"/>
              </w:rPr>
              <w:t>回答：受市场竞争以及供应链成本综合影响，公司三季度毛利率有所下降。公司会根据上游成本变化、市场竞争情况等，积极采取相应措施应对，如提价、产品结构调整等。公司的毛利率受竞争格局、成本变化、公司策略等因素综合影响，未来我们会根据成本变化和市场竞争等动态做调整，保持财务健康的毛利率水平。</w:t>
            </w:r>
          </w:p>
          <w:p>
            <w:pPr>
              <w:spacing w:line="360" w:lineRule="auto"/>
              <w:rPr>
                <w:sz w:val="24"/>
              </w:rPr>
            </w:pPr>
          </w:p>
          <w:p>
            <w:pPr>
              <w:spacing w:line="360" w:lineRule="auto"/>
              <w:ind w:firstLine="482" w:firstLineChars="200"/>
              <w:rPr>
                <w:b/>
                <w:bCs/>
                <w:sz w:val="24"/>
              </w:rPr>
            </w:pPr>
            <w:r>
              <w:rPr>
                <w:rFonts w:hint="eastAsia"/>
                <w:b/>
                <w:bCs/>
                <w:sz w:val="24"/>
              </w:rPr>
              <w:t>2、公司如何理解自身在AI端侧流量入口的价值，进展如何？</w:t>
            </w:r>
          </w:p>
          <w:p>
            <w:pPr>
              <w:spacing w:line="360" w:lineRule="auto"/>
              <w:ind w:firstLine="480" w:firstLineChars="200"/>
              <w:rPr>
                <w:sz w:val="24"/>
              </w:rPr>
            </w:pPr>
            <w:r>
              <w:rPr>
                <w:rFonts w:hint="eastAsia"/>
                <w:sz w:val="24"/>
              </w:rPr>
              <w:t>回答：传音始终关注前沿技术的创新，结合本地化市场用户需求，聚焦关键用户场景，传音旗下TECNO AI和Infinix AI已广泛应用于影像增强、语音助手、AI写作等功能场景，开发了一系列AI辅助功能应用并持续迭代推进系统全面AI化，借助Agent提升用户智能设备移动体验。未来，公司希望推动AI应用和AI终端技术在新兴市场的创新和普及，为消费者带来更优化、更智能的用户体验。</w:t>
            </w:r>
          </w:p>
          <w:p>
            <w:pPr>
              <w:spacing w:line="360" w:lineRule="auto"/>
              <w:rPr>
                <w:b/>
                <w:bCs/>
                <w:sz w:val="24"/>
              </w:rPr>
            </w:pPr>
          </w:p>
          <w:p>
            <w:pPr>
              <w:spacing w:line="360" w:lineRule="auto"/>
              <w:ind w:firstLine="482" w:firstLineChars="200"/>
              <w:rPr>
                <w:b/>
                <w:bCs/>
                <w:sz w:val="24"/>
              </w:rPr>
            </w:pPr>
            <w:r>
              <w:rPr>
                <w:rFonts w:hint="eastAsia"/>
                <w:b/>
                <w:bCs/>
                <w:sz w:val="24"/>
              </w:rPr>
              <w:t>3、从非洲的实际情况看，有比如语种比较丰富，教育水平受限等特点，公司在后续的AI模型探索上会有哪些侧重点？</w:t>
            </w:r>
          </w:p>
          <w:p>
            <w:pPr>
              <w:spacing w:line="360" w:lineRule="auto"/>
              <w:ind w:firstLine="480" w:firstLineChars="200"/>
              <w:rPr>
                <w:sz w:val="24"/>
              </w:rPr>
            </w:pPr>
            <w:r>
              <w:rPr>
                <w:rFonts w:hint="eastAsia"/>
                <w:sz w:val="24"/>
              </w:rPr>
              <w:t>回答：传音专注打造深度本地化的“实用型AI”。传音旗下TECNO AI和Infinix AI同时支持非洲、南亚本地部分小语种，突破低资源语言限制，为当地用户提供本地化智能服务。传音旗下大众消费品牌itel也在推进AI普及方面不断探索，其新品CITY100支持智能问答、实时翻译、拍图解题、日程管理等实用AI服务，帮助大众用户以更低门槛享受智能体验。</w:t>
            </w:r>
          </w:p>
          <w:p>
            <w:pPr>
              <w:spacing w:line="360" w:lineRule="auto"/>
              <w:ind w:firstLine="480" w:firstLineChars="200"/>
              <w:rPr>
                <w:sz w:val="24"/>
              </w:rPr>
            </w:pPr>
            <w:r>
              <w:rPr>
                <w:rFonts w:hint="eastAsia"/>
                <w:sz w:val="24"/>
              </w:rPr>
              <w:t>在AI方面，公司积极构建以AI使能多端融合互通、AI端侧应用以及AI的端云协同应用的架构，结合本地化市场用户需求，带来新一代的智慧助手Ella与创新交互体验。未来，公司希望将AI带来的全新体验让全球新兴市场用户更优先快捷地享受到AI与前沿科技所带来的革新体验。</w:t>
            </w:r>
          </w:p>
          <w:p>
            <w:pPr>
              <w:spacing w:line="360" w:lineRule="auto"/>
              <w:rPr>
                <w:b/>
                <w:bCs/>
                <w:sz w:val="24"/>
              </w:rPr>
            </w:pPr>
          </w:p>
          <w:p>
            <w:pPr>
              <w:numPr>
                <w:ilvl w:val="0"/>
                <w:numId w:val="1"/>
              </w:numPr>
              <w:spacing w:line="360" w:lineRule="auto"/>
              <w:ind w:firstLine="482" w:firstLineChars="200"/>
              <w:rPr>
                <w:b/>
                <w:bCs/>
                <w:sz w:val="24"/>
              </w:rPr>
            </w:pPr>
            <w:r>
              <w:rPr>
                <w:rFonts w:hint="eastAsia"/>
                <w:b/>
                <w:bCs/>
                <w:sz w:val="24"/>
              </w:rPr>
              <w:t>6月上新后三季度销量表现较好，三季度智能机出货量重回全球第四，想问下公司未来新市场开拓的节奏？</w:t>
            </w:r>
          </w:p>
          <w:p>
            <w:pPr>
              <w:spacing w:line="360" w:lineRule="auto"/>
              <w:ind w:firstLine="480" w:firstLineChars="200"/>
              <w:rPr>
                <w:b/>
                <w:bCs/>
                <w:sz w:val="24"/>
              </w:rPr>
            </w:pPr>
            <w:r>
              <w:rPr>
                <w:rFonts w:hint="eastAsia"/>
                <w:sz w:val="24"/>
              </w:rPr>
              <w:t>回答：公司销售区域主要集中在非洲、南亚、东南亚、中东和拉美等全球新兴市场国家。未来公司将持续打造非洲市场核心竞争力，保持非洲市场竞争优势，通过体系化能力加固护城河，进行数字化投入、渠道模式创新、零售店形象升级，同时推进本地化运营。此外，公司会进一步开拓新市场，并重视扩展新市场的可持续发展，努力提升市场份额，保持健康运营；多品牌协同新市场开拓，兼顾市场份额提升和健康运营目标，进行深度用户洞察和产品适配，巩固及提升重点新市场份额。</w:t>
            </w:r>
          </w:p>
          <w:p>
            <w:pPr>
              <w:spacing w:line="360" w:lineRule="auto"/>
              <w:rPr>
                <w:b/>
                <w:bCs/>
                <w:sz w:val="24"/>
              </w:rPr>
            </w:pPr>
          </w:p>
          <w:p>
            <w:pPr>
              <w:numPr>
                <w:ilvl w:val="0"/>
                <w:numId w:val="1"/>
              </w:numPr>
              <w:spacing w:line="360" w:lineRule="auto"/>
              <w:ind w:firstLine="482" w:firstLineChars="200"/>
              <w:rPr>
                <w:b/>
                <w:bCs/>
                <w:sz w:val="24"/>
              </w:rPr>
            </w:pPr>
            <w:r>
              <w:rPr>
                <w:rFonts w:hint="eastAsia"/>
                <w:b/>
                <w:bCs/>
                <w:sz w:val="24"/>
              </w:rPr>
              <w:t>公司扩品类业务的进展如何？</w:t>
            </w:r>
          </w:p>
          <w:p>
            <w:pPr>
              <w:spacing w:line="360" w:lineRule="auto"/>
              <w:ind w:firstLine="480" w:firstLineChars="200"/>
              <w:rPr>
                <w:sz w:val="24"/>
              </w:rPr>
            </w:pPr>
            <w:r>
              <w:rPr>
                <w:rFonts w:hint="eastAsia"/>
                <w:sz w:val="24"/>
              </w:rPr>
              <w:t>回答：公司在非洲手机市场优势地位的基础上，继续加大力度、加快发展扩品类等业务。公司数码配件、家用电器继续多品牌发展策略，通过智能硬件品类生态模式的本地化探索，积极实施多元化战略布局，扩展满足新兴市场消费者需求的智能硬件新品类。</w:t>
            </w:r>
          </w:p>
          <w:p>
            <w:pPr>
              <w:spacing w:line="360" w:lineRule="auto"/>
              <w:ind w:firstLine="480" w:firstLineChars="200"/>
              <w:rPr>
                <w:sz w:val="24"/>
              </w:rPr>
            </w:pPr>
            <w:r>
              <w:rPr>
                <w:rFonts w:hint="eastAsia"/>
                <w:sz w:val="24"/>
              </w:rPr>
              <w:t>在渠道端，公司深化数字化变革，打造“线下+线上”立体布局，推进重点市场的零售布局，优化电商平台与社交媒体运营。公司加快渠道数字化变革和渠道模式创新，缩短渠道链路以提升运营效率，进一步融合并提升多品类的协同价值，推进扩品类业务生态布局的发展；通过 AIoT 生态的深度整合与渠道高效运营，持续扩大扩品类业务的规模效应与品牌势能，实现公司扩品类业务的健康经营和长期发展，逐步构建AIoT智能生态。</w:t>
            </w:r>
          </w:p>
          <w:p>
            <w:pPr>
              <w:spacing w:line="360" w:lineRule="auto"/>
              <w:rPr>
                <w:b/>
                <w:bCs/>
                <w:sz w:val="24"/>
              </w:rPr>
            </w:pPr>
          </w:p>
          <w:p>
            <w:pPr>
              <w:numPr>
                <w:ilvl w:val="0"/>
                <w:numId w:val="1"/>
              </w:numPr>
              <w:spacing w:line="360" w:lineRule="auto"/>
              <w:ind w:firstLine="482" w:firstLineChars="200"/>
              <w:rPr>
                <w:b/>
                <w:bCs/>
                <w:sz w:val="24"/>
              </w:rPr>
            </w:pPr>
            <w:r>
              <w:rPr>
                <w:rFonts w:hint="eastAsia"/>
                <w:b/>
                <w:bCs/>
                <w:sz w:val="24"/>
              </w:rPr>
              <w:t>扩品类业务中，目前公司在探索的AI硬件形态还有哪些？</w:t>
            </w:r>
          </w:p>
          <w:p>
            <w:pPr>
              <w:spacing w:line="360" w:lineRule="auto"/>
              <w:ind w:firstLine="480" w:firstLineChars="200"/>
              <w:rPr>
                <w:sz w:val="24"/>
              </w:rPr>
            </w:pPr>
            <w:r>
              <w:rPr>
                <w:rFonts w:hint="eastAsia"/>
                <w:sz w:val="24"/>
              </w:rPr>
              <w:t>回答：目前，公司已经发布了AI PC、AI眼镜等产品，例如新一代AI PC—MEGABOOK S16，搭载TECNO AI，配备在CPU上运行的端侧AI大模型，结合用户办公场景，实现本地AI会议实时翻译和摘要、AI PPT、AI文生图，Ella语音助手等离线AI功能，并支持与TECNO 手机、配件等AI生态产品互联；今年我们也上线了TECNO AI Glasses智能眼镜系列，支持拍照、语音助手、实时翻译、导航等功能。公司将持续探索AI相关硬件产品。</w:t>
            </w:r>
          </w:p>
          <w:p>
            <w:pPr>
              <w:spacing w:line="360" w:lineRule="auto"/>
              <w:rPr>
                <w:sz w:val="24"/>
              </w:rPr>
            </w:pPr>
          </w:p>
          <w:p>
            <w:pPr>
              <w:numPr>
                <w:ilvl w:val="0"/>
                <w:numId w:val="1"/>
              </w:numPr>
              <w:spacing w:line="360" w:lineRule="auto"/>
              <w:ind w:firstLine="482" w:firstLineChars="200"/>
              <w:rPr>
                <w:b/>
                <w:bCs/>
                <w:sz w:val="24"/>
              </w:rPr>
            </w:pPr>
            <w:r>
              <w:rPr>
                <w:b/>
                <w:bCs/>
                <w:sz w:val="24"/>
              </w:rPr>
              <w:t>移动互联的最新进展</w:t>
            </w:r>
            <w:r>
              <w:rPr>
                <w:rFonts w:hint="eastAsia"/>
                <w:b/>
                <w:bCs/>
                <w:sz w:val="24"/>
              </w:rPr>
              <w:t>如何</w:t>
            </w:r>
            <w:r>
              <w:rPr>
                <w:b/>
                <w:bCs/>
                <w:sz w:val="24"/>
              </w:rPr>
              <w:t>？</w:t>
            </w:r>
          </w:p>
          <w:p>
            <w:pPr>
              <w:spacing w:line="360" w:lineRule="auto"/>
              <w:ind w:firstLine="480" w:firstLineChars="200"/>
              <w:rPr>
                <w:sz w:val="24"/>
              </w:rPr>
            </w:pPr>
            <w:r>
              <w:rPr>
                <w:rFonts w:hint="eastAsia"/>
                <w:sz w:val="24"/>
              </w:rPr>
              <w:t>回答：移动互联业务依托公司手机流量基础持续深耕，借助中台能力，赋能用户产品，打造用户产品矩阵，通过不断优化产品体验、拓展生态合作及业务创新，探索适合新兴市场的产品商业模式及用户增长模式，为新兴国家市场的数字化生态建设持续赋能。</w:t>
            </w:r>
          </w:p>
          <w:p>
            <w:pPr>
              <w:spacing w:line="360" w:lineRule="auto"/>
              <w:ind w:firstLine="480" w:firstLineChars="200"/>
              <w:rPr>
                <w:sz w:val="24"/>
              </w:rPr>
            </w:pPr>
            <w:r>
              <w:rPr>
                <w:rFonts w:hint="eastAsia"/>
                <w:sz w:val="24"/>
              </w:rPr>
              <w:t>在 OS 系统及移动互联网产品服务领域，公司通过洞察市场本地化需求，深耕建设本地化服务和内容合作，并依托于公司市场占有率，形成高流量的应用产品矩阵。公司针对新兴市场存在流量成本高、网络不稳定、带宽低、内存配置低等特点，自主研发了流量节省、弱网网络连接、内存融合、感知调度、本地化小语种语音识别、AI 环境声降噪、AI 声纹降噪、画质增强等技术。同时，公司手机均搭载了基于Android系统平台二次开发、深度定制的手机智能终端操作系统（传音OS），深度洞察新兴市场用户在社交、效率办公、影音等场景体验构建，围绕传音OS，开发了应用商店、广告分发平台、手机管家等应用程序。</w:t>
            </w:r>
          </w:p>
          <w:p>
            <w:pPr>
              <w:spacing w:line="360" w:lineRule="auto"/>
              <w:ind w:firstLine="480" w:firstLineChars="200"/>
              <w:rPr>
                <w:sz w:val="24"/>
              </w:rPr>
            </w:pPr>
          </w:p>
          <w:p>
            <w:pPr>
              <w:numPr>
                <w:ilvl w:val="0"/>
                <w:numId w:val="1"/>
              </w:numPr>
              <w:spacing w:line="360" w:lineRule="auto"/>
              <w:ind w:firstLine="482" w:firstLineChars="200"/>
              <w:rPr>
                <w:b/>
                <w:bCs/>
                <w:sz w:val="24"/>
              </w:rPr>
            </w:pPr>
            <w:r>
              <w:rPr>
                <w:rFonts w:hint="eastAsia"/>
                <w:b/>
                <w:bCs/>
                <w:sz w:val="24"/>
              </w:rPr>
              <w:t>在拉美、东南亚等市场的开拓进展？</w:t>
            </w:r>
          </w:p>
          <w:p>
            <w:pPr>
              <w:spacing w:line="360" w:lineRule="auto"/>
              <w:ind w:firstLine="480" w:firstLineChars="200"/>
              <w:rPr>
                <w:sz w:val="24"/>
              </w:rPr>
            </w:pPr>
            <w:r>
              <w:rPr>
                <w:rFonts w:hint="eastAsia"/>
                <w:sz w:val="24"/>
              </w:rPr>
              <w:t>回答：公司采取多品牌协同拓展新兴市场，并重视新兴市场的可持续发展，努力提升市场份额，保持健康经营。</w:t>
            </w:r>
          </w:p>
          <w:p>
            <w:pPr>
              <w:spacing w:line="360" w:lineRule="auto"/>
              <w:ind w:firstLine="480" w:firstLineChars="200"/>
              <w:rPr>
                <w:sz w:val="24"/>
              </w:rPr>
            </w:pPr>
          </w:p>
          <w:p>
            <w:pPr>
              <w:numPr>
                <w:ilvl w:val="0"/>
                <w:numId w:val="1"/>
              </w:numPr>
              <w:spacing w:line="360" w:lineRule="auto"/>
              <w:ind w:firstLine="482" w:firstLineChars="200"/>
              <w:rPr>
                <w:b/>
                <w:bCs/>
                <w:sz w:val="24"/>
              </w:rPr>
            </w:pPr>
            <w:r>
              <w:rPr>
                <w:rFonts w:hint="eastAsia"/>
                <w:b/>
                <w:bCs/>
                <w:sz w:val="24"/>
              </w:rPr>
              <w:t>未来新兴市场手机行业的展望？</w:t>
            </w:r>
          </w:p>
          <w:p>
            <w:pPr>
              <w:spacing w:line="360" w:lineRule="auto"/>
              <w:ind w:firstLine="480" w:firstLineChars="200"/>
              <w:rPr>
                <w:sz w:val="24"/>
              </w:rPr>
            </w:pPr>
            <w:r>
              <w:rPr>
                <w:rFonts w:hint="eastAsia"/>
                <w:sz w:val="24"/>
              </w:rPr>
              <w:t>回答：目前新兴市场国家仍处于“功能机向智能机切换”的市场发展趋势中，整体上，新兴市场国家的智能机渗透率相对于北美、西欧和成熟亚太发达经济体和中国市场较低，功能机换智能机仍然是新兴市场驱动智能机市场增长的一个重要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atLeast"/>
        </w:trPr>
        <w:tc>
          <w:tcPr>
            <w:tcW w:w="1526" w:type="dxa"/>
          </w:tcPr>
          <w:p>
            <w:pPr>
              <w:adjustRightInd w:val="0"/>
              <w:spacing w:line="360" w:lineRule="auto"/>
              <w:contextualSpacing/>
              <w:rPr>
                <w:sz w:val="24"/>
              </w:rPr>
            </w:pPr>
            <w:r>
              <w:rPr>
                <w:rFonts w:hint="eastAsia"/>
                <w:sz w:val="24"/>
              </w:rPr>
              <w:t>附件清单（如有）</w:t>
            </w:r>
          </w:p>
        </w:tc>
        <w:tc>
          <w:tcPr>
            <w:tcW w:w="7145" w:type="dxa"/>
            <w:vAlign w:val="center"/>
          </w:tcPr>
          <w:p>
            <w:pPr>
              <w:adjustRightInd w:val="0"/>
              <w:spacing w:line="360" w:lineRule="auto"/>
              <w:contextualSpacing/>
              <w:rPr>
                <w:sz w:val="24"/>
              </w:rPr>
            </w:pPr>
            <w:r>
              <w:rPr>
                <w:rFonts w:hint="eastAsia"/>
                <w:sz w:val="24"/>
              </w:rPr>
              <w:t>附件一《与会清单》</w:t>
            </w:r>
          </w:p>
        </w:tc>
      </w:tr>
    </w:tbl>
    <w:p>
      <w:pPr>
        <w:widowControl/>
        <w:textAlignment w:val="center"/>
        <w:rPr>
          <w:sz w:val="24"/>
        </w:rPr>
      </w:pPr>
    </w:p>
    <w:p>
      <w:pPr>
        <w:widowControl/>
        <w:textAlignment w:val="center"/>
        <w:rPr>
          <w:sz w:val="24"/>
        </w:rPr>
      </w:pPr>
      <w:r>
        <w:rPr>
          <w:rFonts w:hint="eastAsia"/>
          <w:sz w:val="24"/>
        </w:rPr>
        <w:t>附件一《与会清单》</w:t>
      </w:r>
    </w:p>
    <w:tbl>
      <w:tblPr>
        <w:tblStyle w:val="19"/>
        <w:tblpPr w:leftFromText="180" w:rightFromText="180" w:vertAnchor="text" w:horzAnchor="page" w:tblpX="1785" w:tblpY="302"/>
        <w:tblOverlap w:val="never"/>
        <w:tblW w:w="8764" w:type="dxa"/>
        <w:tblInd w:w="0" w:type="dxa"/>
        <w:tblLayout w:type="fixed"/>
        <w:tblCellMar>
          <w:top w:w="0" w:type="dxa"/>
          <w:left w:w="108" w:type="dxa"/>
          <w:bottom w:w="0" w:type="dxa"/>
          <w:right w:w="108" w:type="dxa"/>
        </w:tblCellMar>
      </w:tblPr>
      <w:tblGrid>
        <w:gridCol w:w="4382"/>
        <w:gridCol w:w="4382"/>
      </w:tblGrid>
      <w:tr>
        <w:trPr>
          <w:trHeight w:val="380" w:hRule="atLeast"/>
        </w:trPr>
        <w:tc>
          <w:tcPr>
            <w:tcW w:w="4382" w:type="dxa"/>
            <w:tcBorders>
              <w:top w:val="single" w:color="000000" w:sz="8" w:space="0"/>
              <w:left w:val="single" w:color="000000" w:sz="8" w:space="0"/>
              <w:bottom w:val="single" w:color="000000" w:sz="8" w:space="0"/>
              <w:right w:val="single" w:color="000000" w:sz="8" w:space="0"/>
            </w:tcBorders>
            <w:shd w:val="clear" w:color="auto" w:fill="8DB4E2"/>
            <w:vAlign w:val="center"/>
          </w:tcPr>
          <w:p>
            <w:pPr>
              <w:widowControl/>
              <w:jc w:val="center"/>
              <w:textAlignment w:val="center"/>
              <w:rPr>
                <w:rFonts w:hint="eastAsia" w:ascii="宋体" w:hAnsi="宋体" w:cs="宋体"/>
                <w:b/>
                <w:bCs/>
                <w:color w:val="000000"/>
                <w:sz w:val="24"/>
              </w:rPr>
            </w:pPr>
            <w:r>
              <w:rPr>
                <w:rFonts w:hint="eastAsia" w:ascii="宋体" w:hAnsi="宋体" w:cs="宋体"/>
                <w:b/>
                <w:bCs/>
                <w:color w:val="000000"/>
                <w:kern w:val="0"/>
                <w:sz w:val="24"/>
                <w:lang w:bidi="ar"/>
              </w:rPr>
              <w:t>公司名称</w:t>
            </w:r>
          </w:p>
        </w:tc>
        <w:tc>
          <w:tcPr>
            <w:tcW w:w="4382" w:type="dxa"/>
            <w:tcBorders>
              <w:top w:val="single" w:color="000000" w:sz="8" w:space="0"/>
              <w:left w:val="nil"/>
              <w:bottom w:val="single" w:color="000000" w:sz="8" w:space="0"/>
              <w:right w:val="single" w:color="000000" w:sz="8" w:space="0"/>
            </w:tcBorders>
            <w:shd w:val="clear" w:color="auto" w:fill="8DB4E2"/>
            <w:vAlign w:val="center"/>
          </w:tcPr>
          <w:p>
            <w:pPr>
              <w:widowControl/>
              <w:jc w:val="center"/>
              <w:textAlignment w:val="center"/>
              <w:rPr>
                <w:rFonts w:hint="eastAsia" w:ascii="宋体" w:hAnsi="宋体" w:cs="宋体"/>
                <w:b/>
                <w:bCs/>
                <w:color w:val="000000"/>
                <w:sz w:val="24"/>
              </w:rPr>
            </w:pPr>
            <w:r>
              <w:rPr>
                <w:rFonts w:hint="eastAsia" w:ascii="宋体" w:hAnsi="宋体" w:cs="宋体"/>
                <w:b/>
                <w:bCs/>
                <w:color w:val="000000"/>
                <w:kern w:val="0"/>
                <w:sz w:val="24"/>
                <w:lang w:bidi="ar"/>
              </w:rPr>
              <w:t>公司名称</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中邮证券有限责任公司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摩根大通</w:t>
            </w:r>
            <w:bookmarkStart w:id="0" w:name="_GoBack"/>
            <w:bookmarkEnd w:id="0"/>
            <w:r>
              <w:rPr>
                <w:rFonts w:hint="eastAsia" w:ascii="宋体" w:hAnsi="宋体" w:cs="宋体"/>
                <w:color w:val="000000"/>
                <w:kern w:val="0"/>
                <w:sz w:val="24"/>
                <w:lang w:bidi="ar"/>
              </w:rPr>
              <w:t>证券(中国)有限公司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中邮创业基金管理股份有限公司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民生证券股份有限公司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中银基金管理有限公司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民生加银基金管理有限公司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中银国际证券股份有限公司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美林(亚太)有限公司</w:t>
            </w:r>
          </w:p>
        </w:tc>
      </w:tr>
      <w:tr>
        <w:tblPrEx>
          <w:tblCellMar>
            <w:top w:w="0" w:type="dxa"/>
            <w:left w:w="108" w:type="dxa"/>
            <w:bottom w:w="0" w:type="dxa"/>
            <w:right w:w="108" w:type="dxa"/>
          </w:tblCellMar>
        </w:tblPrEx>
        <w:trPr>
          <w:trHeight w:val="367"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中信证券股份有限公司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立格资本投资有限公司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中信里昂证券有限公司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兰馨亚洲投资香港有限公司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中信建投证券股份有限公司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开源证券股份有限公司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中泰证券股份有限公司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九泰基金管理有限公司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中航信托股份有限公司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金融街证券股份有限公司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中航基金管理有限公司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交银施罗德基金管理有限公司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中国银河证券股份有限公司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江苏瑞华投资管理有限公司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中国人寿养老保险股份有限公司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建银国际证券有限公司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中国平安保险(集团)股份有限公司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建信基金管理有限责任公司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中国国际金融股份有限公司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嘉实基金管理有限公司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中庚基金管理有限公司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惠升基金管理有限责任公司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招商证券股份有限公司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汇添富基金管理股份有限公司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招商基金管理有限公司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华源证券股份有限公司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长江证券股份有限公司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华夏基金管理有限公司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长安基金管理有限公司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华西证券股份有限公司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粤港澳大湾区科技创新产业投资基金(有限合伙)</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华泰资产管理有限公司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兴业证券股份有限公司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华泰证券股份有限公司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湘财证券股份有限公司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华能贵诚信托有限公司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西部证券股份有限公司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华福证券有限责任公司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西安敦成私募基金管理有限公司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华宝信托有限责任公司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天弘基金管理有限公司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华安财保资产管理有限责任公司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太平洋证券股份有限公司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花旗環球金融亞洲有限公司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苏州君榕资产管理有限公司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湖南长心私募基金管理有限公司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世纪证券有限责任公司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湖北夏创创业投资管理有限公司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盛钧私募基金管理(湖北)有限公司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和谐健康保险股份有限公司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盛博香港有限公司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杭州润洲私募基金管理有限公司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深圳中天汇富基金管理有限公司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海通证券股份有限公司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深圳赢利基金管理有限公司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海南泰昇私募基金管理有限公司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深圳市裕晋投资有限公司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海南谦信私募基金管理有限公司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深圳市尚诚资产管理有限责任公司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国信证券股份有限公司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深圳创富兆业金融管理有限公司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国投证券股份有限公司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申万菱信基金管理有限公司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国泰基金管理有限公司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上海匀升投资管理有限公司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国泰海通证券股份有限公司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上海元昊投资管理有限公司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国寿安保基金管理有限公司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上海甬兴证券资产管理有限公司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国盛证券有限责任公司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上海益和源资产管理有限公司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国海证券股份有限公司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上海循理资产管理有限公司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广发证券股份有限公司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上海申银万国证券研究所有限公司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广发基金管理有限公司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上海睿胜投资管理有限公司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广东正圆私募基金管理有限公司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上海锐天投资管理有限公司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广东冠达泰泽私募基金管理有限公司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上海钦沐资产管理合伙企业(有限合伙)</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光大证券股份有限公司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上海朴信投资管理有限公司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耕霁(上海)投资管理有限公司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上海明汯投资管理有限公司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高盛(亚洲)有限责任公司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上海聆泽私募基金管理有限公司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富瑞金融集团香港有限公司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上海开煜股权投资基金管理有限公司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富国基金管理有限公司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上海君和立成投资管理中心(有限合伙)</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复通(山东)私募投资基金管理有限公司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上海竑观资产管理有限公司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方正证券股份有限公司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上海合道资产管理有限公司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东吴基金管理有限公司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上海禾升投资管理有限公司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东方证券股份有限公司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上海高毅资产管理合伙企业(有限合伙)</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东方财富证券股份有限公司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上海复胜资产管理合伙企业(有限合伙)</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道明资产管理有限公司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上海德邻众福投资管理有限公司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大家资产管理有限责任公司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上海榜样投资管理有限公司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大家保险集团有限责任公司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三塔资本有限公司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财通证券股份有限公司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瑞银证券有限责任公司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才华资本管理有限公司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瑞穗证券亚洲有限公司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博时基金管理有限公司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瑞士银行(中国)有限公司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北京遵道资产管理有限公司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千禧新加坡资产管理有限公司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北京中泽控股集团有限公司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浦银国际控股有限公司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北京泽铭投资有限公司北京泽铭投资有限公司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诺德基金管理有限公司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北京泽铭投资有限公司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诺安基金管理有限公司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鲍尔赛嘉(上海)投资管理有限公司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宁银理财有限责任公司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Point72 Hong Kong Limited</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宁波莲盛投资管理有限公司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InformaPharmaIntelligence</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南京证券股份有限公司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IGWT Investment 投资公司</w:t>
            </w:r>
          </w:p>
        </w:tc>
      </w:tr>
      <w:tr>
        <w:tblPrEx>
          <w:tblCellMar>
            <w:top w:w="0" w:type="dxa"/>
            <w:left w:w="108" w:type="dxa"/>
            <w:bottom w:w="0" w:type="dxa"/>
            <w:right w:w="108" w:type="dxa"/>
          </w:tblCellMar>
        </w:tblPrEx>
        <w:trPr>
          <w:trHeight w:val="380" w:hRule="atLeast"/>
        </w:trPr>
        <w:tc>
          <w:tcPr>
            <w:tcW w:w="4382" w:type="dxa"/>
            <w:tcBorders>
              <w:top w:val="nil"/>
              <w:left w:val="single" w:color="000000" w:sz="8" w:space="0"/>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摩根士丹利基金管理(中国)有限公司</w:t>
            </w:r>
          </w:p>
        </w:tc>
        <w:tc>
          <w:tcPr>
            <w:tcW w:w="4382" w:type="dxa"/>
            <w:tcBorders>
              <w:top w:val="nil"/>
              <w:left w:val="nil"/>
              <w:bottom w:val="single" w:color="000000" w:sz="8" w:space="0"/>
              <w:right w:val="single" w:color="000000" w:sz="8"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HAO CAPITAL LIMITED</w:t>
            </w:r>
          </w:p>
        </w:tc>
      </w:tr>
    </w:tbl>
    <w:p>
      <w:pPr>
        <w:widowControl/>
        <w:textAlignment w:val="center"/>
        <w:rPr>
          <w:sz w:val="24"/>
        </w:rPr>
      </w:pPr>
    </w:p>
    <w:p>
      <w:pPr>
        <w:widowControl/>
        <w:textAlignment w:val="center"/>
        <w:rPr>
          <w:sz w:val="24"/>
        </w:rPr>
      </w:pPr>
    </w:p>
    <w:p>
      <w:pPr>
        <w:widowControl/>
        <w:textAlignment w:val="center"/>
        <w:rPr>
          <w:sz w:val="24"/>
        </w:rPr>
      </w:pPr>
    </w:p>
    <w:p>
      <w:pPr>
        <w:widowControl/>
        <w:textAlignment w:val="center"/>
        <w:rPr>
          <w:sz w:val="24"/>
        </w:rPr>
      </w:pPr>
    </w:p>
    <w:p>
      <w:pPr>
        <w:widowControl/>
        <w:textAlignment w:val="center"/>
        <w:rPr>
          <w:sz w:val="24"/>
          <w:highlight w:val="yellow"/>
        </w:rPr>
      </w:pPr>
    </w:p>
    <w:p>
      <w:pPr>
        <w:widowControl/>
        <w:textAlignment w:val="center"/>
        <w:rPr>
          <w:sz w:val="24"/>
        </w:rPr>
      </w:pPr>
    </w:p>
    <w:p>
      <w:pPr>
        <w:widowControl/>
        <w:textAlignment w:val="center"/>
        <w:rPr>
          <w:sz w:val="24"/>
        </w:rPr>
      </w:pPr>
    </w:p>
    <w:sectPr>
      <w:footerReference r:id="rId5" w:type="default"/>
      <w:pgSz w:w="11906" w:h="16838"/>
      <w:pgMar w:top="1440" w:right="1558" w:bottom="1440" w:left="1800" w:header="851" w:footer="992" w:gutter="0"/>
      <w:pgNumType w:start="1"/>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sz w:val="21"/>
        <w:szCs w:val="21"/>
      </w:rPr>
    </w:pPr>
    <w:r>
      <w:rPr>
        <w:vanish/>
        <w:sz w:val="21"/>
        <w:szCs w:val="21"/>
        <w:highlight w:val="yellow"/>
      </w:rPr>
      <w:t>&lt;</w:t>
    </w: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5</w:t>
    </w:r>
    <w:r>
      <w:rPr>
        <w:sz w:val="21"/>
        <w:szCs w:val="21"/>
      </w:rPr>
      <w:fldChar w:fldCharType="end"/>
    </w:r>
    <w:r>
      <w:rPr>
        <w:vanish/>
        <w:sz w:val="21"/>
        <w:szCs w:val="21"/>
        <w:highlight w:val="yellow"/>
      </w:rPr>
      <w:t>&gt;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C3DB64"/>
    <w:multiLevelType w:val="singleLevel"/>
    <w:tmpl w:val="99C3DB64"/>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3"/>
  <w:trackRevisions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5E92"/>
    <w:rsid w:val="00000391"/>
    <w:rsid w:val="00001768"/>
    <w:rsid w:val="000025EC"/>
    <w:rsid w:val="000059E7"/>
    <w:rsid w:val="00005F8B"/>
    <w:rsid w:val="000077C9"/>
    <w:rsid w:val="00007992"/>
    <w:rsid w:val="000109A8"/>
    <w:rsid w:val="0001279C"/>
    <w:rsid w:val="00012DBC"/>
    <w:rsid w:val="00013DA9"/>
    <w:rsid w:val="000171B0"/>
    <w:rsid w:val="00020A7E"/>
    <w:rsid w:val="00021484"/>
    <w:rsid w:val="000242F5"/>
    <w:rsid w:val="000244DA"/>
    <w:rsid w:val="00027C30"/>
    <w:rsid w:val="00030574"/>
    <w:rsid w:val="00030660"/>
    <w:rsid w:val="00031024"/>
    <w:rsid w:val="0003129F"/>
    <w:rsid w:val="00031BD0"/>
    <w:rsid w:val="000355A3"/>
    <w:rsid w:val="00035E26"/>
    <w:rsid w:val="00041FC8"/>
    <w:rsid w:val="000435FC"/>
    <w:rsid w:val="00043983"/>
    <w:rsid w:val="000441C1"/>
    <w:rsid w:val="000445B6"/>
    <w:rsid w:val="00045916"/>
    <w:rsid w:val="00045B5D"/>
    <w:rsid w:val="00045B69"/>
    <w:rsid w:val="00045DBB"/>
    <w:rsid w:val="00046958"/>
    <w:rsid w:val="00050480"/>
    <w:rsid w:val="000518B5"/>
    <w:rsid w:val="00051D88"/>
    <w:rsid w:val="00052240"/>
    <w:rsid w:val="00052745"/>
    <w:rsid w:val="000544EC"/>
    <w:rsid w:val="000567C8"/>
    <w:rsid w:val="00060315"/>
    <w:rsid w:val="00060944"/>
    <w:rsid w:val="00060CDA"/>
    <w:rsid w:val="0006120A"/>
    <w:rsid w:val="00061896"/>
    <w:rsid w:val="000620F5"/>
    <w:rsid w:val="00064D46"/>
    <w:rsid w:val="000663E8"/>
    <w:rsid w:val="0006730A"/>
    <w:rsid w:val="0007084E"/>
    <w:rsid w:val="000721A0"/>
    <w:rsid w:val="00072FE4"/>
    <w:rsid w:val="0007424F"/>
    <w:rsid w:val="00082F10"/>
    <w:rsid w:val="00082F1E"/>
    <w:rsid w:val="00083240"/>
    <w:rsid w:val="00083633"/>
    <w:rsid w:val="00084008"/>
    <w:rsid w:val="0008470C"/>
    <w:rsid w:val="00085B51"/>
    <w:rsid w:val="0008764F"/>
    <w:rsid w:val="00090E6A"/>
    <w:rsid w:val="0009154C"/>
    <w:rsid w:val="0009208C"/>
    <w:rsid w:val="00092A3B"/>
    <w:rsid w:val="00092FBB"/>
    <w:rsid w:val="00093B2B"/>
    <w:rsid w:val="00095A76"/>
    <w:rsid w:val="00095C61"/>
    <w:rsid w:val="00095D9C"/>
    <w:rsid w:val="000960BB"/>
    <w:rsid w:val="00097C1C"/>
    <w:rsid w:val="000A092F"/>
    <w:rsid w:val="000A0E13"/>
    <w:rsid w:val="000A2E48"/>
    <w:rsid w:val="000A5714"/>
    <w:rsid w:val="000A59B8"/>
    <w:rsid w:val="000A7084"/>
    <w:rsid w:val="000A7A6D"/>
    <w:rsid w:val="000B2E17"/>
    <w:rsid w:val="000B4970"/>
    <w:rsid w:val="000B5731"/>
    <w:rsid w:val="000B69C8"/>
    <w:rsid w:val="000C0C4A"/>
    <w:rsid w:val="000C3FB3"/>
    <w:rsid w:val="000C479C"/>
    <w:rsid w:val="000C5C89"/>
    <w:rsid w:val="000C7076"/>
    <w:rsid w:val="000D067F"/>
    <w:rsid w:val="000D150D"/>
    <w:rsid w:val="000D2233"/>
    <w:rsid w:val="000D274F"/>
    <w:rsid w:val="000D3B3B"/>
    <w:rsid w:val="000D3E29"/>
    <w:rsid w:val="000D4587"/>
    <w:rsid w:val="000D523E"/>
    <w:rsid w:val="000E159B"/>
    <w:rsid w:val="000E3AA3"/>
    <w:rsid w:val="000E451E"/>
    <w:rsid w:val="000E5366"/>
    <w:rsid w:val="000E5673"/>
    <w:rsid w:val="000E7105"/>
    <w:rsid w:val="000F183F"/>
    <w:rsid w:val="000F33C4"/>
    <w:rsid w:val="000F4148"/>
    <w:rsid w:val="000F7085"/>
    <w:rsid w:val="000F7D46"/>
    <w:rsid w:val="001002E6"/>
    <w:rsid w:val="001006EF"/>
    <w:rsid w:val="001007F1"/>
    <w:rsid w:val="00101396"/>
    <w:rsid w:val="00102775"/>
    <w:rsid w:val="00103A23"/>
    <w:rsid w:val="00110B19"/>
    <w:rsid w:val="00111297"/>
    <w:rsid w:val="00112BEB"/>
    <w:rsid w:val="001136BA"/>
    <w:rsid w:val="00114305"/>
    <w:rsid w:val="001155BB"/>
    <w:rsid w:val="00115A65"/>
    <w:rsid w:val="0011791E"/>
    <w:rsid w:val="0012008C"/>
    <w:rsid w:val="00132D87"/>
    <w:rsid w:val="00133476"/>
    <w:rsid w:val="001342A9"/>
    <w:rsid w:val="0013649E"/>
    <w:rsid w:val="0014003A"/>
    <w:rsid w:val="001419AB"/>
    <w:rsid w:val="00143595"/>
    <w:rsid w:val="0014400B"/>
    <w:rsid w:val="0014447D"/>
    <w:rsid w:val="00145A7C"/>
    <w:rsid w:val="00145AF4"/>
    <w:rsid w:val="00146E6F"/>
    <w:rsid w:val="001472DF"/>
    <w:rsid w:val="00151630"/>
    <w:rsid w:val="00152DA3"/>
    <w:rsid w:val="0015424B"/>
    <w:rsid w:val="00154627"/>
    <w:rsid w:val="00154AC7"/>
    <w:rsid w:val="00154BD8"/>
    <w:rsid w:val="00155FAF"/>
    <w:rsid w:val="00160F3D"/>
    <w:rsid w:val="00162B07"/>
    <w:rsid w:val="00162C17"/>
    <w:rsid w:val="00165A80"/>
    <w:rsid w:val="00165D23"/>
    <w:rsid w:val="00166C2D"/>
    <w:rsid w:val="001712ED"/>
    <w:rsid w:val="001719E1"/>
    <w:rsid w:val="00172C9C"/>
    <w:rsid w:val="00172E70"/>
    <w:rsid w:val="00174518"/>
    <w:rsid w:val="00176254"/>
    <w:rsid w:val="00177566"/>
    <w:rsid w:val="00180AC2"/>
    <w:rsid w:val="00180D1A"/>
    <w:rsid w:val="001824F8"/>
    <w:rsid w:val="001835D1"/>
    <w:rsid w:val="00183D96"/>
    <w:rsid w:val="00183F83"/>
    <w:rsid w:val="001847F2"/>
    <w:rsid w:val="00184B52"/>
    <w:rsid w:val="001857F8"/>
    <w:rsid w:val="0018728F"/>
    <w:rsid w:val="00187487"/>
    <w:rsid w:val="00191933"/>
    <w:rsid w:val="0019482C"/>
    <w:rsid w:val="0019508C"/>
    <w:rsid w:val="001A059C"/>
    <w:rsid w:val="001A0C7B"/>
    <w:rsid w:val="001A1748"/>
    <w:rsid w:val="001A1FE7"/>
    <w:rsid w:val="001A2298"/>
    <w:rsid w:val="001A2427"/>
    <w:rsid w:val="001A5001"/>
    <w:rsid w:val="001A5506"/>
    <w:rsid w:val="001A595C"/>
    <w:rsid w:val="001A6D15"/>
    <w:rsid w:val="001A761A"/>
    <w:rsid w:val="001A791A"/>
    <w:rsid w:val="001A7E9D"/>
    <w:rsid w:val="001B0C38"/>
    <w:rsid w:val="001B0EDA"/>
    <w:rsid w:val="001B1EC8"/>
    <w:rsid w:val="001B1F39"/>
    <w:rsid w:val="001B6211"/>
    <w:rsid w:val="001B6DDC"/>
    <w:rsid w:val="001C1F9B"/>
    <w:rsid w:val="001C2664"/>
    <w:rsid w:val="001C26FB"/>
    <w:rsid w:val="001C3B47"/>
    <w:rsid w:val="001C41C0"/>
    <w:rsid w:val="001C52C4"/>
    <w:rsid w:val="001C6A68"/>
    <w:rsid w:val="001C700B"/>
    <w:rsid w:val="001C74A3"/>
    <w:rsid w:val="001C7A37"/>
    <w:rsid w:val="001D160D"/>
    <w:rsid w:val="001D250E"/>
    <w:rsid w:val="001D3A5D"/>
    <w:rsid w:val="001D4295"/>
    <w:rsid w:val="001D6593"/>
    <w:rsid w:val="001E24A3"/>
    <w:rsid w:val="001E334A"/>
    <w:rsid w:val="001E4D90"/>
    <w:rsid w:val="001E6FA0"/>
    <w:rsid w:val="001F0E25"/>
    <w:rsid w:val="001F0FA1"/>
    <w:rsid w:val="001F116F"/>
    <w:rsid w:val="001F43B1"/>
    <w:rsid w:val="001F5E83"/>
    <w:rsid w:val="001F6E43"/>
    <w:rsid w:val="0020038C"/>
    <w:rsid w:val="0020157B"/>
    <w:rsid w:val="002028C9"/>
    <w:rsid w:val="00210097"/>
    <w:rsid w:val="002135FA"/>
    <w:rsid w:val="002152D8"/>
    <w:rsid w:val="00215844"/>
    <w:rsid w:val="00216198"/>
    <w:rsid w:val="002161B0"/>
    <w:rsid w:val="002211E5"/>
    <w:rsid w:val="00223D14"/>
    <w:rsid w:val="00223F03"/>
    <w:rsid w:val="002248B6"/>
    <w:rsid w:val="00224C2B"/>
    <w:rsid w:val="002253D7"/>
    <w:rsid w:val="002265B3"/>
    <w:rsid w:val="0022763B"/>
    <w:rsid w:val="002328F5"/>
    <w:rsid w:val="00233892"/>
    <w:rsid w:val="00234590"/>
    <w:rsid w:val="00236A2B"/>
    <w:rsid w:val="0024233B"/>
    <w:rsid w:val="002458B2"/>
    <w:rsid w:val="00245E9A"/>
    <w:rsid w:val="002500C0"/>
    <w:rsid w:val="002505BF"/>
    <w:rsid w:val="00250BCB"/>
    <w:rsid w:val="00251F78"/>
    <w:rsid w:val="00253E3C"/>
    <w:rsid w:val="00254541"/>
    <w:rsid w:val="002551ED"/>
    <w:rsid w:val="00257D5A"/>
    <w:rsid w:val="002601FD"/>
    <w:rsid w:val="0026139D"/>
    <w:rsid w:val="002617D2"/>
    <w:rsid w:val="0026455E"/>
    <w:rsid w:val="00266CC9"/>
    <w:rsid w:val="00266D1D"/>
    <w:rsid w:val="00267D75"/>
    <w:rsid w:val="00270F13"/>
    <w:rsid w:val="0027321F"/>
    <w:rsid w:val="002742A9"/>
    <w:rsid w:val="0027459F"/>
    <w:rsid w:val="002755E4"/>
    <w:rsid w:val="00280C4B"/>
    <w:rsid w:val="0028183E"/>
    <w:rsid w:val="002819FB"/>
    <w:rsid w:val="002924E7"/>
    <w:rsid w:val="00292A8F"/>
    <w:rsid w:val="002937FF"/>
    <w:rsid w:val="00297422"/>
    <w:rsid w:val="002A0DDA"/>
    <w:rsid w:val="002A2328"/>
    <w:rsid w:val="002A2C45"/>
    <w:rsid w:val="002A3471"/>
    <w:rsid w:val="002A7868"/>
    <w:rsid w:val="002B0A91"/>
    <w:rsid w:val="002B4196"/>
    <w:rsid w:val="002B43BC"/>
    <w:rsid w:val="002B4BAA"/>
    <w:rsid w:val="002B53BD"/>
    <w:rsid w:val="002B5E3B"/>
    <w:rsid w:val="002C0628"/>
    <w:rsid w:val="002C1122"/>
    <w:rsid w:val="002C21AC"/>
    <w:rsid w:val="002C27BC"/>
    <w:rsid w:val="002C39E4"/>
    <w:rsid w:val="002C49AA"/>
    <w:rsid w:val="002C6FCD"/>
    <w:rsid w:val="002C7672"/>
    <w:rsid w:val="002C7BAF"/>
    <w:rsid w:val="002D38FC"/>
    <w:rsid w:val="002D3EE0"/>
    <w:rsid w:val="002D4670"/>
    <w:rsid w:val="002D4D8B"/>
    <w:rsid w:val="002D74A3"/>
    <w:rsid w:val="002D7D80"/>
    <w:rsid w:val="002E0A4D"/>
    <w:rsid w:val="002E17E3"/>
    <w:rsid w:val="002E2B71"/>
    <w:rsid w:val="002E3102"/>
    <w:rsid w:val="002E4460"/>
    <w:rsid w:val="002E45E2"/>
    <w:rsid w:val="002E4A63"/>
    <w:rsid w:val="002F1A1D"/>
    <w:rsid w:val="002F346F"/>
    <w:rsid w:val="002F42AC"/>
    <w:rsid w:val="002F483F"/>
    <w:rsid w:val="002F4877"/>
    <w:rsid w:val="002F4DA2"/>
    <w:rsid w:val="002F59B2"/>
    <w:rsid w:val="002F687B"/>
    <w:rsid w:val="002F7B09"/>
    <w:rsid w:val="00301DF0"/>
    <w:rsid w:val="00304269"/>
    <w:rsid w:val="00304576"/>
    <w:rsid w:val="00305E51"/>
    <w:rsid w:val="0030603A"/>
    <w:rsid w:val="00306225"/>
    <w:rsid w:val="00306380"/>
    <w:rsid w:val="003064D2"/>
    <w:rsid w:val="0030668A"/>
    <w:rsid w:val="0031122F"/>
    <w:rsid w:val="003116E9"/>
    <w:rsid w:val="00311744"/>
    <w:rsid w:val="00312F2D"/>
    <w:rsid w:val="00313090"/>
    <w:rsid w:val="003130B1"/>
    <w:rsid w:val="003136B3"/>
    <w:rsid w:val="0031559E"/>
    <w:rsid w:val="00315C5A"/>
    <w:rsid w:val="003229F6"/>
    <w:rsid w:val="00330518"/>
    <w:rsid w:val="00332336"/>
    <w:rsid w:val="00332C93"/>
    <w:rsid w:val="00333083"/>
    <w:rsid w:val="003365F4"/>
    <w:rsid w:val="00336BAB"/>
    <w:rsid w:val="00337116"/>
    <w:rsid w:val="003372BE"/>
    <w:rsid w:val="00337F5D"/>
    <w:rsid w:val="003413F4"/>
    <w:rsid w:val="0034236B"/>
    <w:rsid w:val="003448E2"/>
    <w:rsid w:val="003451AB"/>
    <w:rsid w:val="00350BA0"/>
    <w:rsid w:val="00354179"/>
    <w:rsid w:val="003543A0"/>
    <w:rsid w:val="0035592F"/>
    <w:rsid w:val="00355F2A"/>
    <w:rsid w:val="00357ACF"/>
    <w:rsid w:val="003618B3"/>
    <w:rsid w:val="00365DCD"/>
    <w:rsid w:val="00366EDC"/>
    <w:rsid w:val="00370BEF"/>
    <w:rsid w:val="00371D61"/>
    <w:rsid w:val="00372162"/>
    <w:rsid w:val="0037339D"/>
    <w:rsid w:val="003750A3"/>
    <w:rsid w:val="003774C8"/>
    <w:rsid w:val="00381381"/>
    <w:rsid w:val="00385E63"/>
    <w:rsid w:val="0038691F"/>
    <w:rsid w:val="00387D19"/>
    <w:rsid w:val="00392793"/>
    <w:rsid w:val="00393C41"/>
    <w:rsid w:val="0039479A"/>
    <w:rsid w:val="003A1AC7"/>
    <w:rsid w:val="003A4267"/>
    <w:rsid w:val="003A4CF0"/>
    <w:rsid w:val="003A70F4"/>
    <w:rsid w:val="003A7E8C"/>
    <w:rsid w:val="003B0A2A"/>
    <w:rsid w:val="003B0D66"/>
    <w:rsid w:val="003B27BA"/>
    <w:rsid w:val="003B4555"/>
    <w:rsid w:val="003B6902"/>
    <w:rsid w:val="003C146F"/>
    <w:rsid w:val="003C525E"/>
    <w:rsid w:val="003C6347"/>
    <w:rsid w:val="003C65C7"/>
    <w:rsid w:val="003C6EFE"/>
    <w:rsid w:val="003C70D3"/>
    <w:rsid w:val="003D0D50"/>
    <w:rsid w:val="003D1444"/>
    <w:rsid w:val="003D61FF"/>
    <w:rsid w:val="003E0273"/>
    <w:rsid w:val="003E09F2"/>
    <w:rsid w:val="003E1D76"/>
    <w:rsid w:val="003E239C"/>
    <w:rsid w:val="003E3163"/>
    <w:rsid w:val="003E33C1"/>
    <w:rsid w:val="003E3512"/>
    <w:rsid w:val="003E36B4"/>
    <w:rsid w:val="003E3CBF"/>
    <w:rsid w:val="003E45C9"/>
    <w:rsid w:val="003E4E31"/>
    <w:rsid w:val="003E6E9A"/>
    <w:rsid w:val="003E7890"/>
    <w:rsid w:val="003E7B0E"/>
    <w:rsid w:val="003F0D20"/>
    <w:rsid w:val="003F1311"/>
    <w:rsid w:val="003F173C"/>
    <w:rsid w:val="003F256B"/>
    <w:rsid w:val="003F2651"/>
    <w:rsid w:val="003F2730"/>
    <w:rsid w:val="003F42FB"/>
    <w:rsid w:val="003F478E"/>
    <w:rsid w:val="00400F02"/>
    <w:rsid w:val="004027BC"/>
    <w:rsid w:val="00410EFF"/>
    <w:rsid w:val="00411024"/>
    <w:rsid w:val="004111C9"/>
    <w:rsid w:val="004123F3"/>
    <w:rsid w:val="00413029"/>
    <w:rsid w:val="0041321B"/>
    <w:rsid w:val="0041362C"/>
    <w:rsid w:val="00414A65"/>
    <w:rsid w:val="00415022"/>
    <w:rsid w:val="00416681"/>
    <w:rsid w:val="00416959"/>
    <w:rsid w:val="00416A81"/>
    <w:rsid w:val="00416ABF"/>
    <w:rsid w:val="00421837"/>
    <w:rsid w:val="00423837"/>
    <w:rsid w:val="00423C0D"/>
    <w:rsid w:val="004248B7"/>
    <w:rsid w:val="00425521"/>
    <w:rsid w:val="0042584B"/>
    <w:rsid w:val="004271B0"/>
    <w:rsid w:val="004308A8"/>
    <w:rsid w:val="00433C2A"/>
    <w:rsid w:val="00435031"/>
    <w:rsid w:val="00440AEB"/>
    <w:rsid w:val="004441BB"/>
    <w:rsid w:val="00444834"/>
    <w:rsid w:val="00444982"/>
    <w:rsid w:val="004478CF"/>
    <w:rsid w:val="00454769"/>
    <w:rsid w:val="00455AD3"/>
    <w:rsid w:val="00456A12"/>
    <w:rsid w:val="00457859"/>
    <w:rsid w:val="004578BB"/>
    <w:rsid w:val="00462B65"/>
    <w:rsid w:val="004639AC"/>
    <w:rsid w:val="004645A4"/>
    <w:rsid w:val="00465DA9"/>
    <w:rsid w:val="004669B8"/>
    <w:rsid w:val="00471CF9"/>
    <w:rsid w:val="004739DF"/>
    <w:rsid w:val="004747C6"/>
    <w:rsid w:val="004748E2"/>
    <w:rsid w:val="004760B6"/>
    <w:rsid w:val="00477F7A"/>
    <w:rsid w:val="00480B70"/>
    <w:rsid w:val="00481445"/>
    <w:rsid w:val="00481888"/>
    <w:rsid w:val="00483A3D"/>
    <w:rsid w:val="0048665C"/>
    <w:rsid w:val="00490F8C"/>
    <w:rsid w:val="004938E7"/>
    <w:rsid w:val="00494C95"/>
    <w:rsid w:val="00494D37"/>
    <w:rsid w:val="00497877"/>
    <w:rsid w:val="004A01BD"/>
    <w:rsid w:val="004A33FA"/>
    <w:rsid w:val="004A4D92"/>
    <w:rsid w:val="004B1F67"/>
    <w:rsid w:val="004B3989"/>
    <w:rsid w:val="004B546B"/>
    <w:rsid w:val="004B702B"/>
    <w:rsid w:val="004B7A89"/>
    <w:rsid w:val="004C1F3D"/>
    <w:rsid w:val="004D4592"/>
    <w:rsid w:val="004E1B31"/>
    <w:rsid w:val="004E1F10"/>
    <w:rsid w:val="004E22E0"/>
    <w:rsid w:val="004E293D"/>
    <w:rsid w:val="004E4FF7"/>
    <w:rsid w:val="004E5AD0"/>
    <w:rsid w:val="004E77EC"/>
    <w:rsid w:val="004F31AC"/>
    <w:rsid w:val="004F3E9D"/>
    <w:rsid w:val="004F466A"/>
    <w:rsid w:val="004F5987"/>
    <w:rsid w:val="0050060E"/>
    <w:rsid w:val="0050134C"/>
    <w:rsid w:val="0050225E"/>
    <w:rsid w:val="00502775"/>
    <w:rsid w:val="00504B93"/>
    <w:rsid w:val="00505C1A"/>
    <w:rsid w:val="00505F76"/>
    <w:rsid w:val="0050692B"/>
    <w:rsid w:val="00507B58"/>
    <w:rsid w:val="00507CA3"/>
    <w:rsid w:val="005108CF"/>
    <w:rsid w:val="00513075"/>
    <w:rsid w:val="005138B7"/>
    <w:rsid w:val="005161A0"/>
    <w:rsid w:val="00517526"/>
    <w:rsid w:val="0052165E"/>
    <w:rsid w:val="0052229E"/>
    <w:rsid w:val="00522490"/>
    <w:rsid w:val="005230FF"/>
    <w:rsid w:val="005236F3"/>
    <w:rsid w:val="00523806"/>
    <w:rsid w:val="00524097"/>
    <w:rsid w:val="005246F9"/>
    <w:rsid w:val="00527FE9"/>
    <w:rsid w:val="00531740"/>
    <w:rsid w:val="00532AF4"/>
    <w:rsid w:val="0053327B"/>
    <w:rsid w:val="005332E0"/>
    <w:rsid w:val="005334A1"/>
    <w:rsid w:val="005362B8"/>
    <w:rsid w:val="00537A5C"/>
    <w:rsid w:val="00542097"/>
    <w:rsid w:val="00542D72"/>
    <w:rsid w:val="00542F35"/>
    <w:rsid w:val="0054352D"/>
    <w:rsid w:val="00544DE9"/>
    <w:rsid w:val="005450E1"/>
    <w:rsid w:val="0054680E"/>
    <w:rsid w:val="00547DF1"/>
    <w:rsid w:val="00555E5E"/>
    <w:rsid w:val="005573EB"/>
    <w:rsid w:val="00560DEF"/>
    <w:rsid w:val="0056108E"/>
    <w:rsid w:val="005625B3"/>
    <w:rsid w:val="00563313"/>
    <w:rsid w:val="00563A67"/>
    <w:rsid w:val="00563D53"/>
    <w:rsid w:val="00563D82"/>
    <w:rsid w:val="00567AB8"/>
    <w:rsid w:val="00570DE0"/>
    <w:rsid w:val="00572B17"/>
    <w:rsid w:val="0057329D"/>
    <w:rsid w:val="00576CCF"/>
    <w:rsid w:val="0057779E"/>
    <w:rsid w:val="005810CE"/>
    <w:rsid w:val="00586FA3"/>
    <w:rsid w:val="00590220"/>
    <w:rsid w:val="005919CF"/>
    <w:rsid w:val="0059351A"/>
    <w:rsid w:val="0059389B"/>
    <w:rsid w:val="00596F66"/>
    <w:rsid w:val="005A4DFF"/>
    <w:rsid w:val="005A59B8"/>
    <w:rsid w:val="005A5FCF"/>
    <w:rsid w:val="005B1403"/>
    <w:rsid w:val="005B1EBF"/>
    <w:rsid w:val="005B26FE"/>
    <w:rsid w:val="005B574B"/>
    <w:rsid w:val="005C002A"/>
    <w:rsid w:val="005C0AA8"/>
    <w:rsid w:val="005C1D4C"/>
    <w:rsid w:val="005C4595"/>
    <w:rsid w:val="005C4BFA"/>
    <w:rsid w:val="005C645F"/>
    <w:rsid w:val="005C7570"/>
    <w:rsid w:val="005D1361"/>
    <w:rsid w:val="005D3E60"/>
    <w:rsid w:val="005D4D58"/>
    <w:rsid w:val="005D733E"/>
    <w:rsid w:val="005E023E"/>
    <w:rsid w:val="005E0C2E"/>
    <w:rsid w:val="005E0D5D"/>
    <w:rsid w:val="005E5BF0"/>
    <w:rsid w:val="005E6589"/>
    <w:rsid w:val="005E6C70"/>
    <w:rsid w:val="005E6DA5"/>
    <w:rsid w:val="005E717F"/>
    <w:rsid w:val="005F0021"/>
    <w:rsid w:val="005F24CD"/>
    <w:rsid w:val="005F3F01"/>
    <w:rsid w:val="005F7370"/>
    <w:rsid w:val="005F7411"/>
    <w:rsid w:val="006013CE"/>
    <w:rsid w:val="0060214E"/>
    <w:rsid w:val="006026E7"/>
    <w:rsid w:val="00602F10"/>
    <w:rsid w:val="006038DC"/>
    <w:rsid w:val="0060619C"/>
    <w:rsid w:val="00611760"/>
    <w:rsid w:val="00612D5E"/>
    <w:rsid w:val="00613DCC"/>
    <w:rsid w:val="0061480A"/>
    <w:rsid w:val="00614880"/>
    <w:rsid w:val="00615830"/>
    <w:rsid w:val="00615C37"/>
    <w:rsid w:val="00617997"/>
    <w:rsid w:val="0062012B"/>
    <w:rsid w:val="00620722"/>
    <w:rsid w:val="00620CB7"/>
    <w:rsid w:val="00621280"/>
    <w:rsid w:val="00623821"/>
    <w:rsid w:val="00626C03"/>
    <w:rsid w:val="006272E0"/>
    <w:rsid w:val="00630CDB"/>
    <w:rsid w:val="00631FC9"/>
    <w:rsid w:val="00634F18"/>
    <w:rsid w:val="006360AA"/>
    <w:rsid w:val="006362CB"/>
    <w:rsid w:val="00640450"/>
    <w:rsid w:val="006415D1"/>
    <w:rsid w:val="00641600"/>
    <w:rsid w:val="0064188E"/>
    <w:rsid w:val="00646194"/>
    <w:rsid w:val="006477C9"/>
    <w:rsid w:val="00647A67"/>
    <w:rsid w:val="00650294"/>
    <w:rsid w:val="00651B14"/>
    <w:rsid w:val="0065345F"/>
    <w:rsid w:val="00654FA2"/>
    <w:rsid w:val="00655EB2"/>
    <w:rsid w:val="006571FE"/>
    <w:rsid w:val="006600BA"/>
    <w:rsid w:val="00660136"/>
    <w:rsid w:val="00660697"/>
    <w:rsid w:val="006615DA"/>
    <w:rsid w:val="00661F55"/>
    <w:rsid w:val="006621BF"/>
    <w:rsid w:val="006624A8"/>
    <w:rsid w:val="0066315E"/>
    <w:rsid w:val="00663185"/>
    <w:rsid w:val="00663331"/>
    <w:rsid w:val="00664353"/>
    <w:rsid w:val="00665D7A"/>
    <w:rsid w:val="00665F05"/>
    <w:rsid w:val="00665F2B"/>
    <w:rsid w:val="00667DAA"/>
    <w:rsid w:val="00670D5F"/>
    <w:rsid w:val="00672445"/>
    <w:rsid w:val="006725E8"/>
    <w:rsid w:val="0067393D"/>
    <w:rsid w:val="006810D0"/>
    <w:rsid w:val="006847F9"/>
    <w:rsid w:val="00687620"/>
    <w:rsid w:val="00690985"/>
    <w:rsid w:val="00693DE0"/>
    <w:rsid w:val="0069523F"/>
    <w:rsid w:val="00696775"/>
    <w:rsid w:val="006A24CE"/>
    <w:rsid w:val="006B070C"/>
    <w:rsid w:val="006B1F76"/>
    <w:rsid w:val="006B289E"/>
    <w:rsid w:val="006B4C26"/>
    <w:rsid w:val="006B53E5"/>
    <w:rsid w:val="006B5985"/>
    <w:rsid w:val="006C02AB"/>
    <w:rsid w:val="006C09F3"/>
    <w:rsid w:val="006C32AC"/>
    <w:rsid w:val="006C4163"/>
    <w:rsid w:val="006C520E"/>
    <w:rsid w:val="006C6721"/>
    <w:rsid w:val="006D1B90"/>
    <w:rsid w:val="006D2131"/>
    <w:rsid w:val="006D6B1D"/>
    <w:rsid w:val="006D6F39"/>
    <w:rsid w:val="006D784B"/>
    <w:rsid w:val="006E1A84"/>
    <w:rsid w:val="006E23E4"/>
    <w:rsid w:val="006E4369"/>
    <w:rsid w:val="006E5167"/>
    <w:rsid w:val="006E55E0"/>
    <w:rsid w:val="006E72D4"/>
    <w:rsid w:val="006F1755"/>
    <w:rsid w:val="006F3472"/>
    <w:rsid w:val="006F616C"/>
    <w:rsid w:val="006F61B5"/>
    <w:rsid w:val="006F61B7"/>
    <w:rsid w:val="007033CE"/>
    <w:rsid w:val="0070406F"/>
    <w:rsid w:val="00704B83"/>
    <w:rsid w:val="0070502E"/>
    <w:rsid w:val="00705B9C"/>
    <w:rsid w:val="00710543"/>
    <w:rsid w:val="00711372"/>
    <w:rsid w:val="00716D3D"/>
    <w:rsid w:val="007170B2"/>
    <w:rsid w:val="00717703"/>
    <w:rsid w:val="0071784A"/>
    <w:rsid w:val="0072139A"/>
    <w:rsid w:val="007224A3"/>
    <w:rsid w:val="0072255C"/>
    <w:rsid w:val="00723842"/>
    <w:rsid w:val="007240BC"/>
    <w:rsid w:val="007242FF"/>
    <w:rsid w:val="00724E12"/>
    <w:rsid w:val="0072664E"/>
    <w:rsid w:val="00726A5A"/>
    <w:rsid w:val="0073076B"/>
    <w:rsid w:val="00730ACA"/>
    <w:rsid w:val="0073265C"/>
    <w:rsid w:val="00737D41"/>
    <w:rsid w:val="00737D66"/>
    <w:rsid w:val="0074041C"/>
    <w:rsid w:val="00740B60"/>
    <w:rsid w:val="007411C7"/>
    <w:rsid w:val="00742C79"/>
    <w:rsid w:val="00742D04"/>
    <w:rsid w:val="00743E44"/>
    <w:rsid w:val="007449F0"/>
    <w:rsid w:val="007471DB"/>
    <w:rsid w:val="00747F58"/>
    <w:rsid w:val="00750BB2"/>
    <w:rsid w:val="00751C4A"/>
    <w:rsid w:val="0075203B"/>
    <w:rsid w:val="00752FB5"/>
    <w:rsid w:val="00754790"/>
    <w:rsid w:val="00756153"/>
    <w:rsid w:val="007566F7"/>
    <w:rsid w:val="00756924"/>
    <w:rsid w:val="00757376"/>
    <w:rsid w:val="0075764F"/>
    <w:rsid w:val="007601AB"/>
    <w:rsid w:val="007608D6"/>
    <w:rsid w:val="007612C9"/>
    <w:rsid w:val="00764E8A"/>
    <w:rsid w:val="00765D72"/>
    <w:rsid w:val="0076736B"/>
    <w:rsid w:val="00770F29"/>
    <w:rsid w:val="00772FE5"/>
    <w:rsid w:val="0077335A"/>
    <w:rsid w:val="00773560"/>
    <w:rsid w:val="00773635"/>
    <w:rsid w:val="007738E2"/>
    <w:rsid w:val="00777BA6"/>
    <w:rsid w:val="007813E1"/>
    <w:rsid w:val="0078214C"/>
    <w:rsid w:val="00782A83"/>
    <w:rsid w:val="00783479"/>
    <w:rsid w:val="00783C02"/>
    <w:rsid w:val="00786652"/>
    <w:rsid w:val="00786EF0"/>
    <w:rsid w:val="00790BC7"/>
    <w:rsid w:val="00791DF4"/>
    <w:rsid w:val="007959D2"/>
    <w:rsid w:val="007979E6"/>
    <w:rsid w:val="007A0BC6"/>
    <w:rsid w:val="007A124A"/>
    <w:rsid w:val="007A1D49"/>
    <w:rsid w:val="007B3E61"/>
    <w:rsid w:val="007B49B9"/>
    <w:rsid w:val="007B68B7"/>
    <w:rsid w:val="007C03B7"/>
    <w:rsid w:val="007C2AD4"/>
    <w:rsid w:val="007C3402"/>
    <w:rsid w:val="007D0649"/>
    <w:rsid w:val="007D07FC"/>
    <w:rsid w:val="007D2DAF"/>
    <w:rsid w:val="007D3FC0"/>
    <w:rsid w:val="007D45DE"/>
    <w:rsid w:val="007D62DE"/>
    <w:rsid w:val="007D6C6F"/>
    <w:rsid w:val="007E017B"/>
    <w:rsid w:val="007E399D"/>
    <w:rsid w:val="007E5EAC"/>
    <w:rsid w:val="007F1B62"/>
    <w:rsid w:val="007F1D5F"/>
    <w:rsid w:val="007F1EDD"/>
    <w:rsid w:val="007F45D7"/>
    <w:rsid w:val="007F4805"/>
    <w:rsid w:val="007F5567"/>
    <w:rsid w:val="007F7459"/>
    <w:rsid w:val="007F7751"/>
    <w:rsid w:val="00800464"/>
    <w:rsid w:val="008005FB"/>
    <w:rsid w:val="008012B7"/>
    <w:rsid w:val="00801C10"/>
    <w:rsid w:val="00802E6E"/>
    <w:rsid w:val="00804231"/>
    <w:rsid w:val="008055A2"/>
    <w:rsid w:val="00805D09"/>
    <w:rsid w:val="00807113"/>
    <w:rsid w:val="008118AB"/>
    <w:rsid w:val="0081195E"/>
    <w:rsid w:val="008141E7"/>
    <w:rsid w:val="0081466A"/>
    <w:rsid w:val="00815671"/>
    <w:rsid w:val="00816630"/>
    <w:rsid w:val="0081674A"/>
    <w:rsid w:val="00816750"/>
    <w:rsid w:val="008168BD"/>
    <w:rsid w:val="00820A16"/>
    <w:rsid w:val="00820D2B"/>
    <w:rsid w:val="00822D9D"/>
    <w:rsid w:val="00822F9B"/>
    <w:rsid w:val="00824A02"/>
    <w:rsid w:val="0082547F"/>
    <w:rsid w:val="00825CE1"/>
    <w:rsid w:val="008274FC"/>
    <w:rsid w:val="008276D9"/>
    <w:rsid w:val="00833C6A"/>
    <w:rsid w:val="00835F7B"/>
    <w:rsid w:val="008365B2"/>
    <w:rsid w:val="00837AC6"/>
    <w:rsid w:val="008404A9"/>
    <w:rsid w:val="0084787F"/>
    <w:rsid w:val="0085060F"/>
    <w:rsid w:val="00851DF1"/>
    <w:rsid w:val="00852AE6"/>
    <w:rsid w:val="00855048"/>
    <w:rsid w:val="008550EF"/>
    <w:rsid w:val="00855EBD"/>
    <w:rsid w:val="00856359"/>
    <w:rsid w:val="008564F7"/>
    <w:rsid w:val="0085667F"/>
    <w:rsid w:val="00857126"/>
    <w:rsid w:val="00860CA9"/>
    <w:rsid w:val="008635AA"/>
    <w:rsid w:val="00863E78"/>
    <w:rsid w:val="008643DC"/>
    <w:rsid w:val="00865A79"/>
    <w:rsid w:val="008713D1"/>
    <w:rsid w:val="00880960"/>
    <w:rsid w:val="00880C56"/>
    <w:rsid w:val="00881E5B"/>
    <w:rsid w:val="00882409"/>
    <w:rsid w:val="008826A7"/>
    <w:rsid w:val="00882995"/>
    <w:rsid w:val="00882FA9"/>
    <w:rsid w:val="008850EE"/>
    <w:rsid w:val="0088746E"/>
    <w:rsid w:val="00890B64"/>
    <w:rsid w:val="0089731B"/>
    <w:rsid w:val="008A063B"/>
    <w:rsid w:val="008A1687"/>
    <w:rsid w:val="008A1E84"/>
    <w:rsid w:val="008A35BD"/>
    <w:rsid w:val="008A3F0E"/>
    <w:rsid w:val="008A42D2"/>
    <w:rsid w:val="008A4977"/>
    <w:rsid w:val="008A55C3"/>
    <w:rsid w:val="008B1BBD"/>
    <w:rsid w:val="008B66AD"/>
    <w:rsid w:val="008C048C"/>
    <w:rsid w:val="008C094D"/>
    <w:rsid w:val="008C1648"/>
    <w:rsid w:val="008D1285"/>
    <w:rsid w:val="008D2F1D"/>
    <w:rsid w:val="008D385A"/>
    <w:rsid w:val="008D47D6"/>
    <w:rsid w:val="008D6F55"/>
    <w:rsid w:val="008D7ABC"/>
    <w:rsid w:val="008E027B"/>
    <w:rsid w:val="008E0B21"/>
    <w:rsid w:val="008E22E7"/>
    <w:rsid w:val="008E2875"/>
    <w:rsid w:val="008E3A11"/>
    <w:rsid w:val="008E6DF8"/>
    <w:rsid w:val="008F01E4"/>
    <w:rsid w:val="008F02CB"/>
    <w:rsid w:val="008F4325"/>
    <w:rsid w:val="009035C3"/>
    <w:rsid w:val="00903BF9"/>
    <w:rsid w:val="009048E2"/>
    <w:rsid w:val="00907D09"/>
    <w:rsid w:val="009128CF"/>
    <w:rsid w:val="00912BC8"/>
    <w:rsid w:val="009171DE"/>
    <w:rsid w:val="009179DD"/>
    <w:rsid w:val="00917B5B"/>
    <w:rsid w:val="00920CA1"/>
    <w:rsid w:val="00920E80"/>
    <w:rsid w:val="00921513"/>
    <w:rsid w:val="00921679"/>
    <w:rsid w:val="0092445B"/>
    <w:rsid w:val="00926D77"/>
    <w:rsid w:val="009278EB"/>
    <w:rsid w:val="00930FB1"/>
    <w:rsid w:val="00931440"/>
    <w:rsid w:val="009315A7"/>
    <w:rsid w:val="00934502"/>
    <w:rsid w:val="00934891"/>
    <w:rsid w:val="00935547"/>
    <w:rsid w:val="00940D11"/>
    <w:rsid w:val="009419B4"/>
    <w:rsid w:val="00941D28"/>
    <w:rsid w:val="00941F25"/>
    <w:rsid w:val="00942BA1"/>
    <w:rsid w:val="00943467"/>
    <w:rsid w:val="00946CCC"/>
    <w:rsid w:val="0094701A"/>
    <w:rsid w:val="00947451"/>
    <w:rsid w:val="00951590"/>
    <w:rsid w:val="00953BD2"/>
    <w:rsid w:val="00954985"/>
    <w:rsid w:val="009556A8"/>
    <w:rsid w:val="00957470"/>
    <w:rsid w:val="009606AE"/>
    <w:rsid w:val="00961B90"/>
    <w:rsid w:val="0096202A"/>
    <w:rsid w:val="009634A3"/>
    <w:rsid w:val="00964482"/>
    <w:rsid w:val="00964675"/>
    <w:rsid w:val="00966A9E"/>
    <w:rsid w:val="00966E20"/>
    <w:rsid w:val="00967A65"/>
    <w:rsid w:val="00970098"/>
    <w:rsid w:val="009708CF"/>
    <w:rsid w:val="0097280C"/>
    <w:rsid w:val="00976994"/>
    <w:rsid w:val="00976F6F"/>
    <w:rsid w:val="00980486"/>
    <w:rsid w:val="00980B44"/>
    <w:rsid w:val="00983391"/>
    <w:rsid w:val="00986273"/>
    <w:rsid w:val="00986597"/>
    <w:rsid w:val="00991B82"/>
    <w:rsid w:val="00991F40"/>
    <w:rsid w:val="00994030"/>
    <w:rsid w:val="00996032"/>
    <w:rsid w:val="0099723A"/>
    <w:rsid w:val="00997416"/>
    <w:rsid w:val="00997447"/>
    <w:rsid w:val="009975DB"/>
    <w:rsid w:val="009A16BC"/>
    <w:rsid w:val="009A1B09"/>
    <w:rsid w:val="009A2662"/>
    <w:rsid w:val="009A3342"/>
    <w:rsid w:val="009A4D6D"/>
    <w:rsid w:val="009A4E77"/>
    <w:rsid w:val="009A760A"/>
    <w:rsid w:val="009B2782"/>
    <w:rsid w:val="009B593A"/>
    <w:rsid w:val="009C03BE"/>
    <w:rsid w:val="009C1EC5"/>
    <w:rsid w:val="009C44E5"/>
    <w:rsid w:val="009C6350"/>
    <w:rsid w:val="009C729B"/>
    <w:rsid w:val="009C79F9"/>
    <w:rsid w:val="009C7F7F"/>
    <w:rsid w:val="009D34D1"/>
    <w:rsid w:val="009D3B58"/>
    <w:rsid w:val="009D4AAF"/>
    <w:rsid w:val="009D4FD2"/>
    <w:rsid w:val="009E00B5"/>
    <w:rsid w:val="009E2D5F"/>
    <w:rsid w:val="009E381E"/>
    <w:rsid w:val="009E3B37"/>
    <w:rsid w:val="009E59D0"/>
    <w:rsid w:val="009E5A67"/>
    <w:rsid w:val="009E79E4"/>
    <w:rsid w:val="009F0BE9"/>
    <w:rsid w:val="009F1B41"/>
    <w:rsid w:val="009F1F24"/>
    <w:rsid w:val="009F33C4"/>
    <w:rsid w:val="009F511D"/>
    <w:rsid w:val="009F6786"/>
    <w:rsid w:val="009F6BC5"/>
    <w:rsid w:val="009F760C"/>
    <w:rsid w:val="00A000AB"/>
    <w:rsid w:val="00A04B4E"/>
    <w:rsid w:val="00A050BD"/>
    <w:rsid w:val="00A06425"/>
    <w:rsid w:val="00A06795"/>
    <w:rsid w:val="00A07B0C"/>
    <w:rsid w:val="00A07CB3"/>
    <w:rsid w:val="00A10471"/>
    <w:rsid w:val="00A120C2"/>
    <w:rsid w:val="00A12423"/>
    <w:rsid w:val="00A13332"/>
    <w:rsid w:val="00A13907"/>
    <w:rsid w:val="00A148D0"/>
    <w:rsid w:val="00A14D7C"/>
    <w:rsid w:val="00A154F5"/>
    <w:rsid w:val="00A208F4"/>
    <w:rsid w:val="00A20A52"/>
    <w:rsid w:val="00A22494"/>
    <w:rsid w:val="00A23099"/>
    <w:rsid w:val="00A249FD"/>
    <w:rsid w:val="00A24E2F"/>
    <w:rsid w:val="00A25F0B"/>
    <w:rsid w:val="00A26726"/>
    <w:rsid w:val="00A26D5C"/>
    <w:rsid w:val="00A30555"/>
    <w:rsid w:val="00A3072A"/>
    <w:rsid w:val="00A34FB1"/>
    <w:rsid w:val="00A3715D"/>
    <w:rsid w:val="00A41DF7"/>
    <w:rsid w:val="00A435A7"/>
    <w:rsid w:val="00A440E3"/>
    <w:rsid w:val="00A44A7E"/>
    <w:rsid w:val="00A45A31"/>
    <w:rsid w:val="00A47305"/>
    <w:rsid w:val="00A50019"/>
    <w:rsid w:val="00A524D3"/>
    <w:rsid w:val="00A5271E"/>
    <w:rsid w:val="00A549F1"/>
    <w:rsid w:val="00A54F24"/>
    <w:rsid w:val="00A57CA5"/>
    <w:rsid w:val="00A60388"/>
    <w:rsid w:val="00A61D40"/>
    <w:rsid w:val="00A6319C"/>
    <w:rsid w:val="00A636BA"/>
    <w:rsid w:val="00A63DD9"/>
    <w:rsid w:val="00A64640"/>
    <w:rsid w:val="00A6483F"/>
    <w:rsid w:val="00A65076"/>
    <w:rsid w:val="00A65BA5"/>
    <w:rsid w:val="00A66105"/>
    <w:rsid w:val="00A70608"/>
    <w:rsid w:val="00A72B46"/>
    <w:rsid w:val="00A74940"/>
    <w:rsid w:val="00A75641"/>
    <w:rsid w:val="00A81C02"/>
    <w:rsid w:val="00A846C1"/>
    <w:rsid w:val="00A84E16"/>
    <w:rsid w:val="00A867BA"/>
    <w:rsid w:val="00A878CA"/>
    <w:rsid w:val="00A90773"/>
    <w:rsid w:val="00A90807"/>
    <w:rsid w:val="00A90E26"/>
    <w:rsid w:val="00A9541A"/>
    <w:rsid w:val="00AA06B3"/>
    <w:rsid w:val="00AA2E77"/>
    <w:rsid w:val="00AA4568"/>
    <w:rsid w:val="00AA5160"/>
    <w:rsid w:val="00AA6345"/>
    <w:rsid w:val="00AB09EE"/>
    <w:rsid w:val="00AB3B42"/>
    <w:rsid w:val="00AB71CD"/>
    <w:rsid w:val="00AC00A2"/>
    <w:rsid w:val="00AC639E"/>
    <w:rsid w:val="00AC658E"/>
    <w:rsid w:val="00AC6F6A"/>
    <w:rsid w:val="00AC71CA"/>
    <w:rsid w:val="00AD08AE"/>
    <w:rsid w:val="00AD3A03"/>
    <w:rsid w:val="00AD3F3F"/>
    <w:rsid w:val="00AD42C2"/>
    <w:rsid w:val="00AD4611"/>
    <w:rsid w:val="00AD7478"/>
    <w:rsid w:val="00AD7C40"/>
    <w:rsid w:val="00AE12ED"/>
    <w:rsid w:val="00AE1E72"/>
    <w:rsid w:val="00AE2A25"/>
    <w:rsid w:val="00AE3D87"/>
    <w:rsid w:val="00AE41F0"/>
    <w:rsid w:val="00AE471F"/>
    <w:rsid w:val="00AE5B38"/>
    <w:rsid w:val="00AE75B9"/>
    <w:rsid w:val="00AF2D5B"/>
    <w:rsid w:val="00AF5CF2"/>
    <w:rsid w:val="00AF7DB7"/>
    <w:rsid w:val="00B019DA"/>
    <w:rsid w:val="00B038CF"/>
    <w:rsid w:val="00B04013"/>
    <w:rsid w:val="00B0673B"/>
    <w:rsid w:val="00B06770"/>
    <w:rsid w:val="00B06F28"/>
    <w:rsid w:val="00B0732C"/>
    <w:rsid w:val="00B1025A"/>
    <w:rsid w:val="00B11179"/>
    <w:rsid w:val="00B11711"/>
    <w:rsid w:val="00B12ECE"/>
    <w:rsid w:val="00B158A7"/>
    <w:rsid w:val="00B17897"/>
    <w:rsid w:val="00B17B95"/>
    <w:rsid w:val="00B231A6"/>
    <w:rsid w:val="00B235A7"/>
    <w:rsid w:val="00B243DB"/>
    <w:rsid w:val="00B24A30"/>
    <w:rsid w:val="00B26E40"/>
    <w:rsid w:val="00B32B4B"/>
    <w:rsid w:val="00B346CA"/>
    <w:rsid w:val="00B372D6"/>
    <w:rsid w:val="00B45AA0"/>
    <w:rsid w:val="00B45D5F"/>
    <w:rsid w:val="00B47EBE"/>
    <w:rsid w:val="00B517B3"/>
    <w:rsid w:val="00B528EF"/>
    <w:rsid w:val="00B52D1A"/>
    <w:rsid w:val="00B54C5B"/>
    <w:rsid w:val="00B54F71"/>
    <w:rsid w:val="00B56E0B"/>
    <w:rsid w:val="00B60054"/>
    <w:rsid w:val="00B6117B"/>
    <w:rsid w:val="00B61F93"/>
    <w:rsid w:val="00B6236F"/>
    <w:rsid w:val="00B63464"/>
    <w:rsid w:val="00B636FC"/>
    <w:rsid w:val="00B63BC9"/>
    <w:rsid w:val="00B641C8"/>
    <w:rsid w:val="00B648C0"/>
    <w:rsid w:val="00B7439A"/>
    <w:rsid w:val="00B753E2"/>
    <w:rsid w:val="00B76103"/>
    <w:rsid w:val="00B80C1F"/>
    <w:rsid w:val="00B80CBD"/>
    <w:rsid w:val="00B853BC"/>
    <w:rsid w:val="00B871B8"/>
    <w:rsid w:val="00B90B34"/>
    <w:rsid w:val="00B90BBA"/>
    <w:rsid w:val="00B9215E"/>
    <w:rsid w:val="00B95117"/>
    <w:rsid w:val="00BA02FC"/>
    <w:rsid w:val="00BA1909"/>
    <w:rsid w:val="00BA1E2D"/>
    <w:rsid w:val="00BA2112"/>
    <w:rsid w:val="00BA293A"/>
    <w:rsid w:val="00BB086C"/>
    <w:rsid w:val="00BB181D"/>
    <w:rsid w:val="00BB300A"/>
    <w:rsid w:val="00BB3ED7"/>
    <w:rsid w:val="00BB513F"/>
    <w:rsid w:val="00BB5A1C"/>
    <w:rsid w:val="00BB6AF0"/>
    <w:rsid w:val="00BC073F"/>
    <w:rsid w:val="00BC1A60"/>
    <w:rsid w:val="00BC7E52"/>
    <w:rsid w:val="00BD0AA3"/>
    <w:rsid w:val="00BD2FCF"/>
    <w:rsid w:val="00BD3D6E"/>
    <w:rsid w:val="00BD416D"/>
    <w:rsid w:val="00BE0C3B"/>
    <w:rsid w:val="00BE0D3D"/>
    <w:rsid w:val="00BE2BEC"/>
    <w:rsid w:val="00BE592A"/>
    <w:rsid w:val="00BE5B6B"/>
    <w:rsid w:val="00BE6245"/>
    <w:rsid w:val="00BE6EA8"/>
    <w:rsid w:val="00BF03F5"/>
    <w:rsid w:val="00BF0D2C"/>
    <w:rsid w:val="00BF0E62"/>
    <w:rsid w:val="00BF1CDF"/>
    <w:rsid w:val="00BF2625"/>
    <w:rsid w:val="00BF3305"/>
    <w:rsid w:val="00BF4118"/>
    <w:rsid w:val="00BF44C3"/>
    <w:rsid w:val="00BF5609"/>
    <w:rsid w:val="00BF591D"/>
    <w:rsid w:val="00BF76A5"/>
    <w:rsid w:val="00C020AC"/>
    <w:rsid w:val="00C023C5"/>
    <w:rsid w:val="00C02706"/>
    <w:rsid w:val="00C03C0F"/>
    <w:rsid w:val="00C06B82"/>
    <w:rsid w:val="00C06D0E"/>
    <w:rsid w:val="00C07673"/>
    <w:rsid w:val="00C07E1C"/>
    <w:rsid w:val="00C10747"/>
    <w:rsid w:val="00C11CB6"/>
    <w:rsid w:val="00C15716"/>
    <w:rsid w:val="00C15954"/>
    <w:rsid w:val="00C15B1C"/>
    <w:rsid w:val="00C17987"/>
    <w:rsid w:val="00C24723"/>
    <w:rsid w:val="00C24C24"/>
    <w:rsid w:val="00C253FB"/>
    <w:rsid w:val="00C256E4"/>
    <w:rsid w:val="00C2632E"/>
    <w:rsid w:val="00C31B9D"/>
    <w:rsid w:val="00C3265D"/>
    <w:rsid w:val="00C34420"/>
    <w:rsid w:val="00C34B5A"/>
    <w:rsid w:val="00C40FC2"/>
    <w:rsid w:val="00C41807"/>
    <w:rsid w:val="00C423F5"/>
    <w:rsid w:val="00C427AD"/>
    <w:rsid w:val="00C51085"/>
    <w:rsid w:val="00C5441F"/>
    <w:rsid w:val="00C55CAC"/>
    <w:rsid w:val="00C560C8"/>
    <w:rsid w:val="00C605AC"/>
    <w:rsid w:val="00C607C7"/>
    <w:rsid w:val="00C60C27"/>
    <w:rsid w:val="00C62995"/>
    <w:rsid w:val="00C64556"/>
    <w:rsid w:val="00C6464D"/>
    <w:rsid w:val="00C67129"/>
    <w:rsid w:val="00C678FE"/>
    <w:rsid w:val="00C67A63"/>
    <w:rsid w:val="00C70C50"/>
    <w:rsid w:val="00C71397"/>
    <w:rsid w:val="00C71632"/>
    <w:rsid w:val="00C73B15"/>
    <w:rsid w:val="00C73C82"/>
    <w:rsid w:val="00C82462"/>
    <w:rsid w:val="00C85785"/>
    <w:rsid w:val="00C87B52"/>
    <w:rsid w:val="00C90163"/>
    <w:rsid w:val="00C910FF"/>
    <w:rsid w:val="00C911D2"/>
    <w:rsid w:val="00C9220C"/>
    <w:rsid w:val="00C9383C"/>
    <w:rsid w:val="00C9407B"/>
    <w:rsid w:val="00C94B38"/>
    <w:rsid w:val="00C956DE"/>
    <w:rsid w:val="00C97C72"/>
    <w:rsid w:val="00C97F81"/>
    <w:rsid w:val="00CA172B"/>
    <w:rsid w:val="00CA2897"/>
    <w:rsid w:val="00CA36E2"/>
    <w:rsid w:val="00CA4E78"/>
    <w:rsid w:val="00CA7C02"/>
    <w:rsid w:val="00CB143F"/>
    <w:rsid w:val="00CB3658"/>
    <w:rsid w:val="00CB398A"/>
    <w:rsid w:val="00CB3CF6"/>
    <w:rsid w:val="00CB4BE6"/>
    <w:rsid w:val="00CB5E24"/>
    <w:rsid w:val="00CB68D1"/>
    <w:rsid w:val="00CB6A44"/>
    <w:rsid w:val="00CB6DA9"/>
    <w:rsid w:val="00CB7C52"/>
    <w:rsid w:val="00CC1380"/>
    <w:rsid w:val="00CC1F54"/>
    <w:rsid w:val="00CC1F6C"/>
    <w:rsid w:val="00CC2ED3"/>
    <w:rsid w:val="00CC54CA"/>
    <w:rsid w:val="00CC6558"/>
    <w:rsid w:val="00CC72F0"/>
    <w:rsid w:val="00CC73B2"/>
    <w:rsid w:val="00CC7531"/>
    <w:rsid w:val="00CC78A8"/>
    <w:rsid w:val="00CD02AF"/>
    <w:rsid w:val="00CD36DB"/>
    <w:rsid w:val="00CD5431"/>
    <w:rsid w:val="00CD60D3"/>
    <w:rsid w:val="00CD78A3"/>
    <w:rsid w:val="00CD7C44"/>
    <w:rsid w:val="00CE01FC"/>
    <w:rsid w:val="00CE06CD"/>
    <w:rsid w:val="00CE156E"/>
    <w:rsid w:val="00CE1705"/>
    <w:rsid w:val="00CE3A42"/>
    <w:rsid w:val="00CE3D42"/>
    <w:rsid w:val="00CE4322"/>
    <w:rsid w:val="00CE51DA"/>
    <w:rsid w:val="00CF12B1"/>
    <w:rsid w:val="00CF2613"/>
    <w:rsid w:val="00CF30D8"/>
    <w:rsid w:val="00CF34E0"/>
    <w:rsid w:val="00CF4021"/>
    <w:rsid w:val="00CF4690"/>
    <w:rsid w:val="00CF5427"/>
    <w:rsid w:val="00CF5FE6"/>
    <w:rsid w:val="00CF6046"/>
    <w:rsid w:val="00CF67B8"/>
    <w:rsid w:val="00CF75C4"/>
    <w:rsid w:val="00D02190"/>
    <w:rsid w:val="00D037A7"/>
    <w:rsid w:val="00D04C78"/>
    <w:rsid w:val="00D05B8A"/>
    <w:rsid w:val="00D06B60"/>
    <w:rsid w:val="00D076C1"/>
    <w:rsid w:val="00D1076A"/>
    <w:rsid w:val="00D1077B"/>
    <w:rsid w:val="00D10DBD"/>
    <w:rsid w:val="00D1355C"/>
    <w:rsid w:val="00D20AA5"/>
    <w:rsid w:val="00D20B22"/>
    <w:rsid w:val="00D2126E"/>
    <w:rsid w:val="00D23111"/>
    <w:rsid w:val="00D306B1"/>
    <w:rsid w:val="00D30C2B"/>
    <w:rsid w:val="00D330F1"/>
    <w:rsid w:val="00D33A4F"/>
    <w:rsid w:val="00D34E71"/>
    <w:rsid w:val="00D35A9B"/>
    <w:rsid w:val="00D3651F"/>
    <w:rsid w:val="00D366B5"/>
    <w:rsid w:val="00D421C6"/>
    <w:rsid w:val="00D43198"/>
    <w:rsid w:val="00D43C51"/>
    <w:rsid w:val="00D45F1B"/>
    <w:rsid w:val="00D463EE"/>
    <w:rsid w:val="00D50E19"/>
    <w:rsid w:val="00D53826"/>
    <w:rsid w:val="00D5559A"/>
    <w:rsid w:val="00D57B98"/>
    <w:rsid w:val="00D57BA2"/>
    <w:rsid w:val="00D60749"/>
    <w:rsid w:val="00D61868"/>
    <w:rsid w:val="00D62B86"/>
    <w:rsid w:val="00D70DD1"/>
    <w:rsid w:val="00D71A22"/>
    <w:rsid w:val="00D749C2"/>
    <w:rsid w:val="00D751AF"/>
    <w:rsid w:val="00D758EE"/>
    <w:rsid w:val="00D76091"/>
    <w:rsid w:val="00D77AFF"/>
    <w:rsid w:val="00D80659"/>
    <w:rsid w:val="00D81043"/>
    <w:rsid w:val="00D829B0"/>
    <w:rsid w:val="00D8305B"/>
    <w:rsid w:val="00D8351A"/>
    <w:rsid w:val="00D8361B"/>
    <w:rsid w:val="00D852F1"/>
    <w:rsid w:val="00D85993"/>
    <w:rsid w:val="00D859EF"/>
    <w:rsid w:val="00D874AB"/>
    <w:rsid w:val="00D9094E"/>
    <w:rsid w:val="00D90DAD"/>
    <w:rsid w:val="00D91777"/>
    <w:rsid w:val="00D927F6"/>
    <w:rsid w:val="00D94199"/>
    <w:rsid w:val="00D96CAC"/>
    <w:rsid w:val="00D96DCE"/>
    <w:rsid w:val="00DA281C"/>
    <w:rsid w:val="00DA561B"/>
    <w:rsid w:val="00DB104B"/>
    <w:rsid w:val="00DB670A"/>
    <w:rsid w:val="00DB6B74"/>
    <w:rsid w:val="00DC1132"/>
    <w:rsid w:val="00DC19B0"/>
    <w:rsid w:val="00DC597F"/>
    <w:rsid w:val="00DC5D12"/>
    <w:rsid w:val="00DC63F9"/>
    <w:rsid w:val="00DD017F"/>
    <w:rsid w:val="00DD46D0"/>
    <w:rsid w:val="00DD4F3C"/>
    <w:rsid w:val="00DD5206"/>
    <w:rsid w:val="00DD6327"/>
    <w:rsid w:val="00DE02C6"/>
    <w:rsid w:val="00DE076D"/>
    <w:rsid w:val="00DE0B43"/>
    <w:rsid w:val="00DE0E89"/>
    <w:rsid w:val="00DE16E9"/>
    <w:rsid w:val="00DE2110"/>
    <w:rsid w:val="00DE3157"/>
    <w:rsid w:val="00DE430D"/>
    <w:rsid w:val="00DE484A"/>
    <w:rsid w:val="00DF384C"/>
    <w:rsid w:val="00DF57A8"/>
    <w:rsid w:val="00DF5F39"/>
    <w:rsid w:val="00DF6A8E"/>
    <w:rsid w:val="00DF6BDE"/>
    <w:rsid w:val="00E00023"/>
    <w:rsid w:val="00E00058"/>
    <w:rsid w:val="00E02CDA"/>
    <w:rsid w:val="00E05035"/>
    <w:rsid w:val="00E06570"/>
    <w:rsid w:val="00E06C0F"/>
    <w:rsid w:val="00E070E1"/>
    <w:rsid w:val="00E10EEE"/>
    <w:rsid w:val="00E12029"/>
    <w:rsid w:val="00E12AB3"/>
    <w:rsid w:val="00E15722"/>
    <w:rsid w:val="00E1580A"/>
    <w:rsid w:val="00E15B23"/>
    <w:rsid w:val="00E1779B"/>
    <w:rsid w:val="00E20C45"/>
    <w:rsid w:val="00E20E50"/>
    <w:rsid w:val="00E211FC"/>
    <w:rsid w:val="00E22860"/>
    <w:rsid w:val="00E241FE"/>
    <w:rsid w:val="00E25005"/>
    <w:rsid w:val="00E2502A"/>
    <w:rsid w:val="00E25B65"/>
    <w:rsid w:val="00E31235"/>
    <w:rsid w:val="00E31D70"/>
    <w:rsid w:val="00E31EAC"/>
    <w:rsid w:val="00E320C9"/>
    <w:rsid w:val="00E32220"/>
    <w:rsid w:val="00E358B1"/>
    <w:rsid w:val="00E364A0"/>
    <w:rsid w:val="00E3717D"/>
    <w:rsid w:val="00E37F64"/>
    <w:rsid w:val="00E40C11"/>
    <w:rsid w:val="00E43D09"/>
    <w:rsid w:val="00E44DDB"/>
    <w:rsid w:val="00E47049"/>
    <w:rsid w:val="00E47C39"/>
    <w:rsid w:val="00E47FD9"/>
    <w:rsid w:val="00E51DDC"/>
    <w:rsid w:val="00E525FB"/>
    <w:rsid w:val="00E52EB1"/>
    <w:rsid w:val="00E53032"/>
    <w:rsid w:val="00E5332F"/>
    <w:rsid w:val="00E534BB"/>
    <w:rsid w:val="00E535F2"/>
    <w:rsid w:val="00E551D2"/>
    <w:rsid w:val="00E577BC"/>
    <w:rsid w:val="00E5780C"/>
    <w:rsid w:val="00E62EDE"/>
    <w:rsid w:val="00E64C44"/>
    <w:rsid w:val="00E66359"/>
    <w:rsid w:val="00E66656"/>
    <w:rsid w:val="00E71753"/>
    <w:rsid w:val="00E71795"/>
    <w:rsid w:val="00E721B0"/>
    <w:rsid w:val="00E7276F"/>
    <w:rsid w:val="00E73306"/>
    <w:rsid w:val="00E73C1F"/>
    <w:rsid w:val="00E73FD0"/>
    <w:rsid w:val="00E7408E"/>
    <w:rsid w:val="00E75E92"/>
    <w:rsid w:val="00E76F2F"/>
    <w:rsid w:val="00E80452"/>
    <w:rsid w:val="00E80700"/>
    <w:rsid w:val="00E81802"/>
    <w:rsid w:val="00E82AFE"/>
    <w:rsid w:val="00E8577C"/>
    <w:rsid w:val="00E875FC"/>
    <w:rsid w:val="00E87C7C"/>
    <w:rsid w:val="00E91D2D"/>
    <w:rsid w:val="00E9394F"/>
    <w:rsid w:val="00E9599E"/>
    <w:rsid w:val="00E95D24"/>
    <w:rsid w:val="00E961FD"/>
    <w:rsid w:val="00E97ACB"/>
    <w:rsid w:val="00E97FAF"/>
    <w:rsid w:val="00EA3985"/>
    <w:rsid w:val="00EA4D22"/>
    <w:rsid w:val="00EA5114"/>
    <w:rsid w:val="00EA6C54"/>
    <w:rsid w:val="00EA79B2"/>
    <w:rsid w:val="00EB0181"/>
    <w:rsid w:val="00EC0057"/>
    <w:rsid w:val="00EC41B2"/>
    <w:rsid w:val="00EC5344"/>
    <w:rsid w:val="00EC5A45"/>
    <w:rsid w:val="00EC6344"/>
    <w:rsid w:val="00EC722E"/>
    <w:rsid w:val="00EC7655"/>
    <w:rsid w:val="00EC77CD"/>
    <w:rsid w:val="00ED3E80"/>
    <w:rsid w:val="00ED74F4"/>
    <w:rsid w:val="00ED7D6D"/>
    <w:rsid w:val="00EE0B11"/>
    <w:rsid w:val="00EE17DB"/>
    <w:rsid w:val="00EE2D0D"/>
    <w:rsid w:val="00EE2D22"/>
    <w:rsid w:val="00EE3D5F"/>
    <w:rsid w:val="00EE5450"/>
    <w:rsid w:val="00EE5FC2"/>
    <w:rsid w:val="00EE7C99"/>
    <w:rsid w:val="00EF0EC1"/>
    <w:rsid w:val="00EF3809"/>
    <w:rsid w:val="00EF382A"/>
    <w:rsid w:val="00EF4C38"/>
    <w:rsid w:val="00EF7CAC"/>
    <w:rsid w:val="00EF7D12"/>
    <w:rsid w:val="00F00F3C"/>
    <w:rsid w:val="00F02BEF"/>
    <w:rsid w:val="00F06C01"/>
    <w:rsid w:val="00F07394"/>
    <w:rsid w:val="00F10940"/>
    <w:rsid w:val="00F13C6F"/>
    <w:rsid w:val="00F16C75"/>
    <w:rsid w:val="00F21A86"/>
    <w:rsid w:val="00F251E8"/>
    <w:rsid w:val="00F25458"/>
    <w:rsid w:val="00F27A39"/>
    <w:rsid w:val="00F30F25"/>
    <w:rsid w:val="00F32726"/>
    <w:rsid w:val="00F33910"/>
    <w:rsid w:val="00F34E22"/>
    <w:rsid w:val="00F35FD4"/>
    <w:rsid w:val="00F375D7"/>
    <w:rsid w:val="00F41592"/>
    <w:rsid w:val="00F415B3"/>
    <w:rsid w:val="00F43D25"/>
    <w:rsid w:val="00F4556A"/>
    <w:rsid w:val="00F45C32"/>
    <w:rsid w:val="00F46ADE"/>
    <w:rsid w:val="00F473BA"/>
    <w:rsid w:val="00F507D9"/>
    <w:rsid w:val="00F50857"/>
    <w:rsid w:val="00F51636"/>
    <w:rsid w:val="00F55484"/>
    <w:rsid w:val="00F574B2"/>
    <w:rsid w:val="00F60A62"/>
    <w:rsid w:val="00F61386"/>
    <w:rsid w:val="00F61451"/>
    <w:rsid w:val="00F61593"/>
    <w:rsid w:val="00F61708"/>
    <w:rsid w:val="00F63C75"/>
    <w:rsid w:val="00F64E0D"/>
    <w:rsid w:val="00F66102"/>
    <w:rsid w:val="00F6769B"/>
    <w:rsid w:val="00F7029F"/>
    <w:rsid w:val="00F72203"/>
    <w:rsid w:val="00F8049C"/>
    <w:rsid w:val="00F811BA"/>
    <w:rsid w:val="00F81C70"/>
    <w:rsid w:val="00F839E7"/>
    <w:rsid w:val="00F8453B"/>
    <w:rsid w:val="00F8480A"/>
    <w:rsid w:val="00F86DBF"/>
    <w:rsid w:val="00F87590"/>
    <w:rsid w:val="00F907FE"/>
    <w:rsid w:val="00F91509"/>
    <w:rsid w:val="00F9196E"/>
    <w:rsid w:val="00F91E6B"/>
    <w:rsid w:val="00F9338C"/>
    <w:rsid w:val="00F97268"/>
    <w:rsid w:val="00FA0F8A"/>
    <w:rsid w:val="00FA1F0B"/>
    <w:rsid w:val="00FA266C"/>
    <w:rsid w:val="00FA51B3"/>
    <w:rsid w:val="00FA624D"/>
    <w:rsid w:val="00FA69ED"/>
    <w:rsid w:val="00FA6EAD"/>
    <w:rsid w:val="00FA7C39"/>
    <w:rsid w:val="00FB1957"/>
    <w:rsid w:val="00FB21D0"/>
    <w:rsid w:val="00FB2300"/>
    <w:rsid w:val="00FB7696"/>
    <w:rsid w:val="00FC20DA"/>
    <w:rsid w:val="00FC2292"/>
    <w:rsid w:val="00FC33B5"/>
    <w:rsid w:val="00FC543C"/>
    <w:rsid w:val="00FC63A5"/>
    <w:rsid w:val="00FC6D73"/>
    <w:rsid w:val="00FD1C70"/>
    <w:rsid w:val="00FD579B"/>
    <w:rsid w:val="00FD59AE"/>
    <w:rsid w:val="00FE31EE"/>
    <w:rsid w:val="00FE331C"/>
    <w:rsid w:val="00FE60C5"/>
    <w:rsid w:val="00FE64E3"/>
    <w:rsid w:val="00FF0349"/>
    <w:rsid w:val="00FF26B4"/>
    <w:rsid w:val="00FF3E1F"/>
    <w:rsid w:val="00FF56EA"/>
    <w:rsid w:val="00FF66F0"/>
    <w:rsid w:val="00FF6C24"/>
    <w:rsid w:val="01156012"/>
    <w:rsid w:val="0134106F"/>
    <w:rsid w:val="014612C0"/>
    <w:rsid w:val="018D255C"/>
    <w:rsid w:val="01967800"/>
    <w:rsid w:val="019B0FBD"/>
    <w:rsid w:val="022B153A"/>
    <w:rsid w:val="026125C9"/>
    <w:rsid w:val="02622100"/>
    <w:rsid w:val="0292123F"/>
    <w:rsid w:val="02D46C3F"/>
    <w:rsid w:val="02D47233"/>
    <w:rsid w:val="0326560C"/>
    <w:rsid w:val="03273186"/>
    <w:rsid w:val="03603191"/>
    <w:rsid w:val="039C24E7"/>
    <w:rsid w:val="03F22F93"/>
    <w:rsid w:val="03F83B08"/>
    <w:rsid w:val="04025A4C"/>
    <w:rsid w:val="0429399C"/>
    <w:rsid w:val="04320A2B"/>
    <w:rsid w:val="04800CEC"/>
    <w:rsid w:val="048E317B"/>
    <w:rsid w:val="04FC0FE3"/>
    <w:rsid w:val="050B0E65"/>
    <w:rsid w:val="050E5BD5"/>
    <w:rsid w:val="05540632"/>
    <w:rsid w:val="05797257"/>
    <w:rsid w:val="05997C19"/>
    <w:rsid w:val="05F9352B"/>
    <w:rsid w:val="060C2D53"/>
    <w:rsid w:val="062858A8"/>
    <w:rsid w:val="06313F16"/>
    <w:rsid w:val="065C7268"/>
    <w:rsid w:val="066679E6"/>
    <w:rsid w:val="06E04214"/>
    <w:rsid w:val="06FD5914"/>
    <w:rsid w:val="0704769F"/>
    <w:rsid w:val="07247199"/>
    <w:rsid w:val="0734703A"/>
    <w:rsid w:val="07692465"/>
    <w:rsid w:val="0780675A"/>
    <w:rsid w:val="07BA0B13"/>
    <w:rsid w:val="07D97F96"/>
    <w:rsid w:val="07E53AF4"/>
    <w:rsid w:val="07F40182"/>
    <w:rsid w:val="08011FE9"/>
    <w:rsid w:val="08164AF0"/>
    <w:rsid w:val="082442FC"/>
    <w:rsid w:val="08263722"/>
    <w:rsid w:val="08450B59"/>
    <w:rsid w:val="0881722D"/>
    <w:rsid w:val="08912DCE"/>
    <w:rsid w:val="08AE56D2"/>
    <w:rsid w:val="08BE5011"/>
    <w:rsid w:val="08D01051"/>
    <w:rsid w:val="08D219AD"/>
    <w:rsid w:val="08DD0C17"/>
    <w:rsid w:val="08F636AF"/>
    <w:rsid w:val="09092CDE"/>
    <w:rsid w:val="0918141A"/>
    <w:rsid w:val="0920750C"/>
    <w:rsid w:val="092D4B07"/>
    <w:rsid w:val="09344AA5"/>
    <w:rsid w:val="09355940"/>
    <w:rsid w:val="09801359"/>
    <w:rsid w:val="098F3543"/>
    <w:rsid w:val="098F457B"/>
    <w:rsid w:val="099D10C4"/>
    <w:rsid w:val="09A623C8"/>
    <w:rsid w:val="0A125499"/>
    <w:rsid w:val="0A1B3FE9"/>
    <w:rsid w:val="0A4F4FC7"/>
    <w:rsid w:val="0A724DA4"/>
    <w:rsid w:val="0AA36C03"/>
    <w:rsid w:val="0AC4111E"/>
    <w:rsid w:val="0B325FCD"/>
    <w:rsid w:val="0B594E05"/>
    <w:rsid w:val="0B7864F0"/>
    <w:rsid w:val="0B991C77"/>
    <w:rsid w:val="0BF14670"/>
    <w:rsid w:val="0C146EE5"/>
    <w:rsid w:val="0C9F742C"/>
    <w:rsid w:val="0CAD0CD3"/>
    <w:rsid w:val="0CD90E44"/>
    <w:rsid w:val="0CD932B3"/>
    <w:rsid w:val="0D56035E"/>
    <w:rsid w:val="0D771AB7"/>
    <w:rsid w:val="0D976968"/>
    <w:rsid w:val="0DE02188"/>
    <w:rsid w:val="0E240F09"/>
    <w:rsid w:val="0E4730A9"/>
    <w:rsid w:val="0E647942"/>
    <w:rsid w:val="0E8F386B"/>
    <w:rsid w:val="0EC3555D"/>
    <w:rsid w:val="0EC946AB"/>
    <w:rsid w:val="0ED23479"/>
    <w:rsid w:val="0EDB6960"/>
    <w:rsid w:val="0EFC4BBF"/>
    <w:rsid w:val="0F1A6C4E"/>
    <w:rsid w:val="0F297681"/>
    <w:rsid w:val="0F3838BF"/>
    <w:rsid w:val="0F89093B"/>
    <w:rsid w:val="0F9B50A3"/>
    <w:rsid w:val="0FDA16B7"/>
    <w:rsid w:val="0FE654B3"/>
    <w:rsid w:val="0FFA3CF6"/>
    <w:rsid w:val="104750F4"/>
    <w:rsid w:val="10893ABC"/>
    <w:rsid w:val="108E20A1"/>
    <w:rsid w:val="10BC1F9B"/>
    <w:rsid w:val="10D776E3"/>
    <w:rsid w:val="10DA6146"/>
    <w:rsid w:val="10E33C4F"/>
    <w:rsid w:val="1109376B"/>
    <w:rsid w:val="114C15A5"/>
    <w:rsid w:val="114F7F07"/>
    <w:rsid w:val="117C6EBD"/>
    <w:rsid w:val="11996DE7"/>
    <w:rsid w:val="119C5204"/>
    <w:rsid w:val="11E71ACF"/>
    <w:rsid w:val="12890F5D"/>
    <w:rsid w:val="128C5918"/>
    <w:rsid w:val="12980BD0"/>
    <w:rsid w:val="12BD5C5A"/>
    <w:rsid w:val="12C70E0E"/>
    <w:rsid w:val="12C7439F"/>
    <w:rsid w:val="12C746C0"/>
    <w:rsid w:val="12FF22F4"/>
    <w:rsid w:val="132F268B"/>
    <w:rsid w:val="13350F33"/>
    <w:rsid w:val="13611518"/>
    <w:rsid w:val="138A07D5"/>
    <w:rsid w:val="13926C5C"/>
    <w:rsid w:val="13AC7109"/>
    <w:rsid w:val="13C83236"/>
    <w:rsid w:val="14022F4D"/>
    <w:rsid w:val="141A4EDA"/>
    <w:rsid w:val="144B7C56"/>
    <w:rsid w:val="14531FD2"/>
    <w:rsid w:val="14903DD0"/>
    <w:rsid w:val="149E5580"/>
    <w:rsid w:val="14AD54C0"/>
    <w:rsid w:val="14B871F9"/>
    <w:rsid w:val="14E449B1"/>
    <w:rsid w:val="150D2442"/>
    <w:rsid w:val="152E1B75"/>
    <w:rsid w:val="154060E0"/>
    <w:rsid w:val="154757C0"/>
    <w:rsid w:val="1563062B"/>
    <w:rsid w:val="15706FB9"/>
    <w:rsid w:val="15ED1C29"/>
    <w:rsid w:val="165D1929"/>
    <w:rsid w:val="16665CC6"/>
    <w:rsid w:val="169A775C"/>
    <w:rsid w:val="16BD6C48"/>
    <w:rsid w:val="16DA4037"/>
    <w:rsid w:val="16DE49B6"/>
    <w:rsid w:val="16F81F7D"/>
    <w:rsid w:val="170C2C08"/>
    <w:rsid w:val="170C4E94"/>
    <w:rsid w:val="175B74F8"/>
    <w:rsid w:val="1789372D"/>
    <w:rsid w:val="17C97B83"/>
    <w:rsid w:val="17D45933"/>
    <w:rsid w:val="181F6057"/>
    <w:rsid w:val="182D2EB6"/>
    <w:rsid w:val="18EC3460"/>
    <w:rsid w:val="18F20D8D"/>
    <w:rsid w:val="19141E58"/>
    <w:rsid w:val="191D16B2"/>
    <w:rsid w:val="1929392A"/>
    <w:rsid w:val="19645E27"/>
    <w:rsid w:val="198F40C2"/>
    <w:rsid w:val="19974DCE"/>
    <w:rsid w:val="19B967CB"/>
    <w:rsid w:val="19D007CF"/>
    <w:rsid w:val="19D05EE4"/>
    <w:rsid w:val="1A170D17"/>
    <w:rsid w:val="1A2B3183"/>
    <w:rsid w:val="1A32365E"/>
    <w:rsid w:val="1A343F64"/>
    <w:rsid w:val="1A3D203B"/>
    <w:rsid w:val="1A461EFC"/>
    <w:rsid w:val="1A645E8D"/>
    <w:rsid w:val="1A6C4F2C"/>
    <w:rsid w:val="1B4E0767"/>
    <w:rsid w:val="1B5C3F43"/>
    <w:rsid w:val="1B7826CE"/>
    <w:rsid w:val="1B945D91"/>
    <w:rsid w:val="1B9E5159"/>
    <w:rsid w:val="1BC91883"/>
    <w:rsid w:val="1BD5313C"/>
    <w:rsid w:val="1C2D3C3C"/>
    <w:rsid w:val="1C4C5421"/>
    <w:rsid w:val="1C5C4C5B"/>
    <w:rsid w:val="1C890422"/>
    <w:rsid w:val="1CBE5EB2"/>
    <w:rsid w:val="1CCC5DA3"/>
    <w:rsid w:val="1CCF4F21"/>
    <w:rsid w:val="1CF352CC"/>
    <w:rsid w:val="1D6C3E58"/>
    <w:rsid w:val="1D7446E9"/>
    <w:rsid w:val="1D901511"/>
    <w:rsid w:val="1DAC2CD0"/>
    <w:rsid w:val="1DB3270D"/>
    <w:rsid w:val="1DB65B58"/>
    <w:rsid w:val="1DEC2241"/>
    <w:rsid w:val="1DEF2C41"/>
    <w:rsid w:val="1DFB3F7E"/>
    <w:rsid w:val="1E5F0343"/>
    <w:rsid w:val="1E966766"/>
    <w:rsid w:val="1EA30782"/>
    <w:rsid w:val="1F2A15EE"/>
    <w:rsid w:val="1F364149"/>
    <w:rsid w:val="1F4D5F3F"/>
    <w:rsid w:val="1F8C5304"/>
    <w:rsid w:val="1FAA503E"/>
    <w:rsid w:val="1FCD20DB"/>
    <w:rsid w:val="1FDA3DD1"/>
    <w:rsid w:val="201255EF"/>
    <w:rsid w:val="2030732B"/>
    <w:rsid w:val="20A27E4D"/>
    <w:rsid w:val="20BD77E2"/>
    <w:rsid w:val="20F3560A"/>
    <w:rsid w:val="2115718C"/>
    <w:rsid w:val="217D561F"/>
    <w:rsid w:val="21922495"/>
    <w:rsid w:val="219D02BB"/>
    <w:rsid w:val="21BD56B5"/>
    <w:rsid w:val="21D1799E"/>
    <w:rsid w:val="221906D6"/>
    <w:rsid w:val="22417E19"/>
    <w:rsid w:val="22E0191E"/>
    <w:rsid w:val="22F11FA8"/>
    <w:rsid w:val="22FB038A"/>
    <w:rsid w:val="230A5465"/>
    <w:rsid w:val="230C1A2B"/>
    <w:rsid w:val="230E7635"/>
    <w:rsid w:val="2317366B"/>
    <w:rsid w:val="23CA3C68"/>
    <w:rsid w:val="23D25D81"/>
    <w:rsid w:val="23E752C3"/>
    <w:rsid w:val="240B2099"/>
    <w:rsid w:val="244E0D7D"/>
    <w:rsid w:val="2472184E"/>
    <w:rsid w:val="24733E15"/>
    <w:rsid w:val="24895CC3"/>
    <w:rsid w:val="24925D5D"/>
    <w:rsid w:val="24C23FBE"/>
    <w:rsid w:val="24C329BA"/>
    <w:rsid w:val="24CD7057"/>
    <w:rsid w:val="24D20F51"/>
    <w:rsid w:val="24F21360"/>
    <w:rsid w:val="24FC3C13"/>
    <w:rsid w:val="25460E13"/>
    <w:rsid w:val="25504B51"/>
    <w:rsid w:val="258B2624"/>
    <w:rsid w:val="25BA394C"/>
    <w:rsid w:val="25F5752D"/>
    <w:rsid w:val="260074C0"/>
    <w:rsid w:val="26051A2A"/>
    <w:rsid w:val="26071023"/>
    <w:rsid w:val="264B1F24"/>
    <w:rsid w:val="2686348E"/>
    <w:rsid w:val="26A755DA"/>
    <w:rsid w:val="26FD771C"/>
    <w:rsid w:val="270330EF"/>
    <w:rsid w:val="27084542"/>
    <w:rsid w:val="27310BFD"/>
    <w:rsid w:val="27726401"/>
    <w:rsid w:val="27DC35E1"/>
    <w:rsid w:val="27F97768"/>
    <w:rsid w:val="28331894"/>
    <w:rsid w:val="285339D8"/>
    <w:rsid w:val="285E2960"/>
    <w:rsid w:val="28864F50"/>
    <w:rsid w:val="28AE301B"/>
    <w:rsid w:val="28B526A5"/>
    <w:rsid w:val="28BA45F0"/>
    <w:rsid w:val="28BE403A"/>
    <w:rsid w:val="28FB2B43"/>
    <w:rsid w:val="29121127"/>
    <w:rsid w:val="29442C1C"/>
    <w:rsid w:val="294911B5"/>
    <w:rsid w:val="29565D77"/>
    <w:rsid w:val="296657F2"/>
    <w:rsid w:val="296D5C70"/>
    <w:rsid w:val="297E31BB"/>
    <w:rsid w:val="29C6253D"/>
    <w:rsid w:val="2A031AD9"/>
    <w:rsid w:val="2A3842AD"/>
    <w:rsid w:val="2A5F3098"/>
    <w:rsid w:val="2A614E0F"/>
    <w:rsid w:val="2A9B29B5"/>
    <w:rsid w:val="2AE23593"/>
    <w:rsid w:val="2B3A1ABF"/>
    <w:rsid w:val="2B6D3D2B"/>
    <w:rsid w:val="2BA86E9E"/>
    <w:rsid w:val="2BD30A71"/>
    <w:rsid w:val="2BE412F3"/>
    <w:rsid w:val="2BEB6E87"/>
    <w:rsid w:val="2BF47C27"/>
    <w:rsid w:val="2C5974FB"/>
    <w:rsid w:val="2CD3611C"/>
    <w:rsid w:val="2CD42358"/>
    <w:rsid w:val="2D1241C0"/>
    <w:rsid w:val="2D432F4D"/>
    <w:rsid w:val="2D68269C"/>
    <w:rsid w:val="2D78548B"/>
    <w:rsid w:val="2DAE7AE2"/>
    <w:rsid w:val="2DB15BA1"/>
    <w:rsid w:val="2DB779D6"/>
    <w:rsid w:val="2E36091B"/>
    <w:rsid w:val="2E7262E3"/>
    <w:rsid w:val="2E7D1583"/>
    <w:rsid w:val="2EA77C8F"/>
    <w:rsid w:val="2EF71A09"/>
    <w:rsid w:val="2F234232"/>
    <w:rsid w:val="2F2E56CD"/>
    <w:rsid w:val="2F397E48"/>
    <w:rsid w:val="2F5D1B76"/>
    <w:rsid w:val="2F67032B"/>
    <w:rsid w:val="2F676E4C"/>
    <w:rsid w:val="2F7C4C32"/>
    <w:rsid w:val="2F9824DF"/>
    <w:rsid w:val="2FAF4074"/>
    <w:rsid w:val="2FF1388D"/>
    <w:rsid w:val="2FF96F28"/>
    <w:rsid w:val="3003169F"/>
    <w:rsid w:val="30373131"/>
    <w:rsid w:val="30AF79A1"/>
    <w:rsid w:val="30B402E2"/>
    <w:rsid w:val="30F108BF"/>
    <w:rsid w:val="31376931"/>
    <w:rsid w:val="31541593"/>
    <w:rsid w:val="319A4DC4"/>
    <w:rsid w:val="31AE0C27"/>
    <w:rsid w:val="31D94A3E"/>
    <w:rsid w:val="31ED6C6E"/>
    <w:rsid w:val="32355674"/>
    <w:rsid w:val="324E5F54"/>
    <w:rsid w:val="328D7F32"/>
    <w:rsid w:val="32AC023D"/>
    <w:rsid w:val="32B10CDA"/>
    <w:rsid w:val="32B84EDA"/>
    <w:rsid w:val="32C0605F"/>
    <w:rsid w:val="32CF1C9F"/>
    <w:rsid w:val="3311148F"/>
    <w:rsid w:val="33244A78"/>
    <w:rsid w:val="333B68B2"/>
    <w:rsid w:val="334B747A"/>
    <w:rsid w:val="335002AF"/>
    <w:rsid w:val="33780D2E"/>
    <w:rsid w:val="337B6F54"/>
    <w:rsid w:val="339F00A2"/>
    <w:rsid w:val="33D46C00"/>
    <w:rsid w:val="341C300C"/>
    <w:rsid w:val="34863CE3"/>
    <w:rsid w:val="34AF0402"/>
    <w:rsid w:val="34FD623C"/>
    <w:rsid w:val="350912D8"/>
    <w:rsid w:val="351773D8"/>
    <w:rsid w:val="3518145E"/>
    <w:rsid w:val="35843871"/>
    <w:rsid w:val="358753E3"/>
    <w:rsid w:val="35905B25"/>
    <w:rsid w:val="359C095A"/>
    <w:rsid w:val="359C4F93"/>
    <w:rsid w:val="35B46143"/>
    <w:rsid w:val="35EC098D"/>
    <w:rsid w:val="35F40BE3"/>
    <w:rsid w:val="360F0906"/>
    <w:rsid w:val="36110488"/>
    <w:rsid w:val="362E08B4"/>
    <w:rsid w:val="36523011"/>
    <w:rsid w:val="366715FC"/>
    <w:rsid w:val="367D6EBA"/>
    <w:rsid w:val="36A02DF6"/>
    <w:rsid w:val="36C143A7"/>
    <w:rsid w:val="36C42EBA"/>
    <w:rsid w:val="36C87DE7"/>
    <w:rsid w:val="36CA7BB0"/>
    <w:rsid w:val="3720693E"/>
    <w:rsid w:val="374116ED"/>
    <w:rsid w:val="37423A62"/>
    <w:rsid w:val="375A4E6A"/>
    <w:rsid w:val="376F5532"/>
    <w:rsid w:val="37DC26E3"/>
    <w:rsid w:val="37DF0B51"/>
    <w:rsid w:val="38040B91"/>
    <w:rsid w:val="380F3DD2"/>
    <w:rsid w:val="381C34D8"/>
    <w:rsid w:val="38531C34"/>
    <w:rsid w:val="386D18AB"/>
    <w:rsid w:val="38894CCC"/>
    <w:rsid w:val="38C23901"/>
    <w:rsid w:val="38CC5B1C"/>
    <w:rsid w:val="38D85479"/>
    <w:rsid w:val="390A7799"/>
    <w:rsid w:val="395F573C"/>
    <w:rsid w:val="39676337"/>
    <w:rsid w:val="396B3F13"/>
    <w:rsid w:val="397B3AED"/>
    <w:rsid w:val="398F47D0"/>
    <w:rsid w:val="39AA42AD"/>
    <w:rsid w:val="39B238FC"/>
    <w:rsid w:val="39CD1A56"/>
    <w:rsid w:val="39F55E02"/>
    <w:rsid w:val="39F8405E"/>
    <w:rsid w:val="3A010FEC"/>
    <w:rsid w:val="3A0828E4"/>
    <w:rsid w:val="3A0D68DF"/>
    <w:rsid w:val="3A2D6675"/>
    <w:rsid w:val="3AA750BE"/>
    <w:rsid w:val="3AF46DB2"/>
    <w:rsid w:val="3B06616D"/>
    <w:rsid w:val="3B290415"/>
    <w:rsid w:val="3B3145D0"/>
    <w:rsid w:val="3B9818AC"/>
    <w:rsid w:val="3BED5CE2"/>
    <w:rsid w:val="3C335E91"/>
    <w:rsid w:val="3C3B275F"/>
    <w:rsid w:val="3C417B96"/>
    <w:rsid w:val="3C5431D0"/>
    <w:rsid w:val="3C783737"/>
    <w:rsid w:val="3CC354EE"/>
    <w:rsid w:val="3CCA6229"/>
    <w:rsid w:val="3D031463"/>
    <w:rsid w:val="3D6C0634"/>
    <w:rsid w:val="3D8E7C24"/>
    <w:rsid w:val="3DBA4787"/>
    <w:rsid w:val="3DDE0AF0"/>
    <w:rsid w:val="3DEE649D"/>
    <w:rsid w:val="3E0C0A17"/>
    <w:rsid w:val="3E490D29"/>
    <w:rsid w:val="3E576765"/>
    <w:rsid w:val="3E8C4A69"/>
    <w:rsid w:val="3EB3059D"/>
    <w:rsid w:val="3F3D0292"/>
    <w:rsid w:val="3F420C04"/>
    <w:rsid w:val="3F56143C"/>
    <w:rsid w:val="3F687FFF"/>
    <w:rsid w:val="3F7336E2"/>
    <w:rsid w:val="3F976EF0"/>
    <w:rsid w:val="3F9E34AA"/>
    <w:rsid w:val="3FA947BC"/>
    <w:rsid w:val="3FEF4937"/>
    <w:rsid w:val="40007C51"/>
    <w:rsid w:val="4052773F"/>
    <w:rsid w:val="40610D71"/>
    <w:rsid w:val="407C7613"/>
    <w:rsid w:val="408F51CB"/>
    <w:rsid w:val="40935BB2"/>
    <w:rsid w:val="40AC0596"/>
    <w:rsid w:val="40B56BCF"/>
    <w:rsid w:val="40D556D1"/>
    <w:rsid w:val="40FB2251"/>
    <w:rsid w:val="411D3A60"/>
    <w:rsid w:val="41435CC4"/>
    <w:rsid w:val="415D59C5"/>
    <w:rsid w:val="415F0570"/>
    <w:rsid w:val="41785442"/>
    <w:rsid w:val="41790BB8"/>
    <w:rsid w:val="418459D5"/>
    <w:rsid w:val="4194605D"/>
    <w:rsid w:val="41A1164E"/>
    <w:rsid w:val="41E16691"/>
    <w:rsid w:val="424B5558"/>
    <w:rsid w:val="426352BB"/>
    <w:rsid w:val="429C35C6"/>
    <w:rsid w:val="42CF0979"/>
    <w:rsid w:val="42E84921"/>
    <w:rsid w:val="43496B9B"/>
    <w:rsid w:val="437A019B"/>
    <w:rsid w:val="43943190"/>
    <w:rsid w:val="43A00245"/>
    <w:rsid w:val="43D16E80"/>
    <w:rsid w:val="43D40585"/>
    <w:rsid w:val="440D2D8C"/>
    <w:rsid w:val="4417183E"/>
    <w:rsid w:val="443114F0"/>
    <w:rsid w:val="443A435D"/>
    <w:rsid w:val="445125E7"/>
    <w:rsid w:val="446C40EF"/>
    <w:rsid w:val="446F2CB4"/>
    <w:rsid w:val="448E6782"/>
    <w:rsid w:val="44CC34C7"/>
    <w:rsid w:val="44E01DC6"/>
    <w:rsid w:val="44F10AF2"/>
    <w:rsid w:val="457771F8"/>
    <w:rsid w:val="45A1300E"/>
    <w:rsid w:val="45A90ECC"/>
    <w:rsid w:val="45B21AC3"/>
    <w:rsid w:val="45B4278B"/>
    <w:rsid w:val="45C223AF"/>
    <w:rsid w:val="45C665C3"/>
    <w:rsid w:val="45CD71B9"/>
    <w:rsid w:val="45FC3CEC"/>
    <w:rsid w:val="45FE485A"/>
    <w:rsid w:val="461D5BD9"/>
    <w:rsid w:val="46961BCD"/>
    <w:rsid w:val="46A83703"/>
    <w:rsid w:val="46CB14C3"/>
    <w:rsid w:val="46E23E04"/>
    <w:rsid w:val="47265CD5"/>
    <w:rsid w:val="47293BB1"/>
    <w:rsid w:val="47297947"/>
    <w:rsid w:val="472D4229"/>
    <w:rsid w:val="47457293"/>
    <w:rsid w:val="474B4DBA"/>
    <w:rsid w:val="47DC2167"/>
    <w:rsid w:val="47EE5F1E"/>
    <w:rsid w:val="4815574C"/>
    <w:rsid w:val="48173E93"/>
    <w:rsid w:val="48830426"/>
    <w:rsid w:val="48837B77"/>
    <w:rsid w:val="488915CB"/>
    <w:rsid w:val="49472A45"/>
    <w:rsid w:val="49682D5C"/>
    <w:rsid w:val="496A71A9"/>
    <w:rsid w:val="49B91F99"/>
    <w:rsid w:val="49C46982"/>
    <w:rsid w:val="49DD17CE"/>
    <w:rsid w:val="4A616930"/>
    <w:rsid w:val="4A7248F6"/>
    <w:rsid w:val="4A9A01B7"/>
    <w:rsid w:val="4ABD64D8"/>
    <w:rsid w:val="4AC5383E"/>
    <w:rsid w:val="4ADC609A"/>
    <w:rsid w:val="4AE01DF7"/>
    <w:rsid w:val="4B085C7E"/>
    <w:rsid w:val="4B1D17EA"/>
    <w:rsid w:val="4B8014BA"/>
    <w:rsid w:val="4BC25928"/>
    <w:rsid w:val="4BC9003C"/>
    <w:rsid w:val="4BCE7C75"/>
    <w:rsid w:val="4C01240E"/>
    <w:rsid w:val="4C7554F0"/>
    <w:rsid w:val="4CC54EFD"/>
    <w:rsid w:val="4D097028"/>
    <w:rsid w:val="4D445E12"/>
    <w:rsid w:val="4ECA2248"/>
    <w:rsid w:val="4ED304BA"/>
    <w:rsid w:val="4EDD1863"/>
    <w:rsid w:val="4F0C0598"/>
    <w:rsid w:val="4F7A428B"/>
    <w:rsid w:val="4FC42D5D"/>
    <w:rsid w:val="501A1777"/>
    <w:rsid w:val="50457EF9"/>
    <w:rsid w:val="50A6366F"/>
    <w:rsid w:val="50FF6167"/>
    <w:rsid w:val="512C52DC"/>
    <w:rsid w:val="51326E4F"/>
    <w:rsid w:val="513E5589"/>
    <w:rsid w:val="513F56FC"/>
    <w:rsid w:val="516C1653"/>
    <w:rsid w:val="51F40B82"/>
    <w:rsid w:val="52415286"/>
    <w:rsid w:val="52716F7F"/>
    <w:rsid w:val="527E1886"/>
    <w:rsid w:val="52985D0A"/>
    <w:rsid w:val="529D674F"/>
    <w:rsid w:val="52A646E0"/>
    <w:rsid w:val="52B01851"/>
    <w:rsid w:val="52B13053"/>
    <w:rsid w:val="52CB613A"/>
    <w:rsid w:val="52D16A6A"/>
    <w:rsid w:val="52F07214"/>
    <w:rsid w:val="53385CEC"/>
    <w:rsid w:val="533F736D"/>
    <w:rsid w:val="534441BC"/>
    <w:rsid w:val="53491029"/>
    <w:rsid w:val="536629CA"/>
    <w:rsid w:val="537C0905"/>
    <w:rsid w:val="538176F6"/>
    <w:rsid w:val="538F3F24"/>
    <w:rsid w:val="539007B9"/>
    <w:rsid w:val="53E8574C"/>
    <w:rsid w:val="540328C9"/>
    <w:rsid w:val="5429049D"/>
    <w:rsid w:val="5443319A"/>
    <w:rsid w:val="544907DC"/>
    <w:rsid w:val="54B71AD2"/>
    <w:rsid w:val="54DD6572"/>
    <w:rsid w:val="551814C0"/>
    <w:rsid w:val="552E29D0"/>
    <w:rsid w:val="554919CF"/>
    <w:rsid w:val="55712F09"/>
    <w:rsid w:val="55784818"/>
    <w:rsid w:val="55847B02"/>
    <w:rsid w:val="55D46E99"/>
    <w:rsid w:val="55DE0EEB"/>
    <w:rsid w:val="56114888"/>
    <w:rsid w:val="56872028"/>
    <w:rsid w:val="569D69D3"/>
    <w:rsid w:val="56A019DC"/>
    <w:rsid w:val="56C56A5F"/>
    <w:rsid w:val="56D05E87"/>
    <w:rsid w:val="57316E66"/>
    <w:rsid w:val="57361940"/>
    <w:rsid w:val="5765653E"/>
    <w:rsid w:val="57DA1D49"/>
    <w:rsid w:val="57E10893"/>
    <w:rsid w:val="57F955BB"/>
    <w:rsid w:val="584904CA"/>
    <w:rsid w:val="586014A2"/>
    <w:rsid w:val="58796C56"/>
    <w:rsid w:val="59052760"/>
    <w:rsid w:val="59716DB2"/>
    <w:rsid w:val="59754FF7"/>
    <w:rsid w:val="597A742C"/>
    <w:rsid w:val="59944086"/>
    <w:rsid w:val="59B15D0E"/>
    <w:rsid w:val="5A03189B"/>
    <w:rsid w:val="5A1C27A3"/>
    <w:rsid w:val="5A3A1416"/>
    <w:rsid w:val="5A534065"/>
    <w:rsid w:val="5A59670A"/>
    <w:rsid w:val="5A627C46"/>
    <w:rsid w:val="5A911508"/>
    <w:rsid w:val="5AF710D9"/>
    <w:rsid w:val="5B0316B5"/>
    <w:rsid w:val="5B3541FE"/>
    <w:rsid w:val="5B4F5532"/>
    <w:rsid w:val="5B5E3FD0"/>
    <w:rsid w:val="5BAB34F9"/>
    <w:rsid w:val="5BD46670"/>
    <w:rsid w:val="5BE523A7"/>
    <w:rsid w:val="5BF809C3"/>
    <w:rsid w:val="5C223EE9"/>
    <w:rsid w:val="5C4D5248"/>
    <w:rsid w:val="5C5105D8"/>
    <w:rsid w:val="5C873985"/>
    <w:rsid w:val="5C9B6746"/>
    <w:rsid w:val="5CBA7729"/>
    <w:rsid w:val="5CCD6777"/>
    <w:rsid w:val="5CE202B6"/>
    <w:rsid w:val="5CE8731C"/>
    <w:rsid w:val="5D045126"/>
    <w:rsid w:val="5DAC133C"/>
    <w:rsid w:val="5DCE263D"/>
    <w:rsid w:val="5E02669A"/>
    <w:rsid w:val="5E3C7E71"/>
    <w:rsid w:val="5E5D39D1"/>
    <w:rsid w:val="5E5E02D2"/>
    <w:rsid w:val="5E746B56"/>
    <w:rsid w:val="5ED72454"/>
    <w:rsid w:val="5EF677AD"/>
    <w:rsid w:val="5F216E64"/>
    <w:rsid w:val="5F6E0882"/>
    <w:rsid w:val="5F707E7F"/>
    <w:rsid w:val="5F92147C"/>
    <w:rsid w:val="5FAE0D13"/>
    <w:rsid w:val="5FC5509E"/>
    <w:rsid w:val="5FFF2F9A"/>
    <w:rsid w:val="602445C5"/>
    <w:rsid w:val="602E5240"/>
    <w:rsid w:val="603A0142"/>
    <w:rsid w:val="60C079D1"/>
    <w:rsid w:val="60C56471"/>
    <w:rsid w:val="60CF0202"/>
    <w:rsid w:val="60EB536F"/>
    <w:rsid w:val="611E73D2"/>
    <w:rsid w:val="61A85A65"/>
    <w:rsid w:val="61B5184E"/>
    <w:rsid w:val="61EA1250"/>
    <w:rsid w:val="624B24D8"/>
    <w:rsid w:val="62522E06"/>
    <w:rsid w:val="627F1CF0"/>
    <w:rsid w:val="62924014"/>
    <w:rsid w:val="62A758C4"/>
    <w:rsid w:val="62B97DE5"/>
    <w:rsid w:val="62E927A9"/>
    <w:rsid w:val="631C69F3"/>
    <w:rsid w:val="632A4F90"/>
    <w:rsid w:val="634528FF"/>
    <w:rsid w:val="63776BA3"/>
    <w:rsid w:val="637C1AE0"/>
    <w:rsid w:val="63803C84"/>
    <w:rsid w:val="639B46D2"/>
    <w:rsid w:val="63DB50B0"/>
    <w:rsid w:val="63E9155E"/>
    <w:rsid w:val="643D25A6"/>
    <w:rsid w:val="6464313E"/>
    <w:rsid w:val="64A33B31"/>
    <w:rsid w:val="64B01D9F"/>
    <w:rsid w:val="64D975F8"/>
    <w:rsid w:val="64FB1227"/>
    <w:rsid w:val="655F0DB7"/>
    <w:rsid w:val="65654D13"/>
    <w:rsid w:val="65AD6381"/>
    <w:rsid w:val="65B56FAF"/>
    <w:rsid w:val="65EA7CCA"/>
    <w:rsid w:val="6630216F"/>
    <w:rsid w:val="66313628"/>
    <w:rsid w:val="663B7BB7"/>
    <w:rsid w:val="663F16E6"/>
    <w:rsid w:val="664C5E68"/>
    <w:rsid w:val="66906858"/>
    <w:rsid w:val="66993849"/>
    <w:rsid w:val="66D61BC3"/>
    <w:rsid w:val="66DF13E0"/>
    <w:rsid w:val="67675615"/>
    <w:rsid w:val="67B313E7"/>
    <w:rsid w:val="67C573EA"/>
    <w:rsid w:val="67D06A7F"/>
    <w:rsid w:val="67D1683A"/>
    <w:rsid w:val="67ED4771"/>
    <w:rsid w:val="68423CA0"/>
    <w:rsid w:val="686E0DE2"/>
    <w:rsid w:val="687C0C88"/>
    <w:rsid w:val="688F7668"/>
    <w:rsid w:val="689058F5"/>
    <w:rsid w:val="6891497B"/>
    <w:rsid w:val="68970511"/>
    <w:rsid w:val="68A44CE8"/>
    <w:rsid w:val="68B55E84"/>
    <w:rsid w:val="68CD2002"/>
    <w:rsid w:val="68E42F57"/>
    <w:rsid w:val="68F77348"/>
    <w:rsid w:val="691240C8"/>
    <w:rsid w:val="6949646E"/>
    <w:rsid w:val="695B50F9"/>
    <w:rsid w:val="69784A1F"/>
    <w:rsid w:val="69C539A2"/>
    <w:rsid w:val="69D80AE6"/>
    <w:rsid w:val="69F11982"/>
    <w:rsid w:val="6A0D03CD"/>
    <w:rsid w:val="6A3969AF"/>
    <w:rsid w:val="6A62213E"/>
    <w:rsid w:val="6A9A0400"/>
    <w:rsid w:val="6ABD5F31"/>
    <w:rsid w:val="6ADE2CAB"/>
    <w:rsid w:val="6AFC5AC2"/>
    <w:rsid w:val="6B6B1695"/>
    <w:rsid w:val="6B6D0F02"/>
    <w:rsid w:val="6B87078B"/>
    <w:rsid w:val="6B9F060B"/>
    <w:rsid w:val="6BA75B7B"/>
    <w:rsid w:val="6BFF5A93"/>
    <w:rsid w:val="6C02655E"/>
    <w:rsid w:val="6C435619"/>
    <w:rsid w:val="6C4E50C0"/>
    <w:rsid w:val="6C6F315A"/>
    <w:rsid w:val="6C95745E"/>
    <w:rsid w:val="6C9B689A"/>
    <w:rsid w:val="6CB601E7"/>
    <w:rsid w:val="6CF228B6"/>
    <w:rsid w:val="6CFA1423"/>
    <w:rsid w:val="6D175FDF"/>
    <w:rsid w:val="6D241BFA"/>
    <w:rsid w:val="6D514364"/>
    <w:rsid w:val="6D872C8B"/>
    <w:rsid w:val="6D9861B7"/>
    <w:rsid w:val="6DA841E7"/>
    <w:rsid w:val="6DDC1C9A"/>
    <w:rsid w:val="6DE969C2"/>
    <w:rsid w:val="6DF438B8"/>
    <w:rsid w:val="6E1278F0"/>
    <w:rsid w:val="6E1B70CC"/>
    <w:rsid w:val="6E3F478A"/>
    <w:rsid w:val="6E4C6F2D"/>
    <w:rsid w:val="6E5F4F1D"/>
    <w:rsid w:val="6E650EA6"/>
    <w:rsid w:val="6E8042C2"/>
    <w:rsid w:val="6ED029EC"/>
    <w:rsid w:val="6EEA672B"/>
    <w:rsid w:val="6EF7331F"/>
    <w:rsid w:val="6EF903DD"/>
    <w:rsid w:val="6F9E1A77"/>
    <w:rsid w:val="6FEB2AF1"/>
    <w:rsid w:val="702102A2"/>
    <w:rsid w:val="702513D9"/>
    <w:rsid w:val="702C0BD9"/>
    <w:rsid w:val="707F0BB6"/>
    <w:rsid w:val="70D255C7"/>
    <w:rsid w:val="712811C0"/>
    <w:rsid w:val="718366CB"/>
    <w:rsid w:val="7186107A"/>
    <w:rsid w:val="71B41E9B"/>
    <w:rsid w:val="71D8596D"/>
    <w:rsid w:val="722F51EB"/>
    <w:rsid w:val="72391A22"/>
    <w:rsid w:val="723E433F"/>
    <w:rsid w:val="724111B0"/>
    <w:rsid w:val="726D74B0"/>
    <w:rsid w:val="728E1D4B"/>
    <w:rsid w:val="72BD12CC"/>
    <w:rsid w:val="72F0532D"/>
    <w:rsid w:val="732F672A"/>
    <w:rsid w:val="734003FE"/>
    <w:rsid w:val="734211C7"/>
    <w:rsid w:val="736B35F1"/>
    <w:rsid w:val="73A92F87"/>
    <w:rsid w:val="73AD4078"/>
    <w:rsid w:val="73C617D8"/>
    <w:rsid w:val="74265712"/>
    <w:rsid w:val="74567621"/>
    <w:rsid w:val="74586BC4"/>
    <w:rsid w:val="74A70B55"/>
    <w:rsid w:val="74A90601"/>
    <w:rsid w:val="74B97F90"/>
    <w:rsid w:val="74DD0374"/>
    <w:rsid w:val="74E72706"/>
    <w:rsid w:val="74F42732"/>
    <w:rsid w:val="752114F2"/>
    <w:rsid w:val="75263DA3"/>
    <w:rsid w:val="752E3095"/>
    <w:rsid w:val="753D4992"/>
    <w:rsid w:val="754F6F51"/>
    <w:rsid w:val="75581552"/>
    <w:rsid w:val="757D4DF3"/>
    <w:rsid w:val="75CC5DD5"/>
    <w:rsid w:val="75E54726"/>
    <w:rsid w:val="75FB2F6D"/>
    <w:rsid w:val="76230C8E"/>
    <w:rsid w:val="764331C0"/>
    <w:rsid w:val="7650238C"/>
    <w:rsid w:val="76651FF9"/>
    <w:rsid w:val="77295A5C"/>
    <w:rsid w:val="7741381E"/>
    <w:rsid w:val="774B7C18"/>
    <w:rsid w:val="77802367"/>
    <w:rsid w:val="77DF5FBE"/>
    <w:rsid w:val="781B24F9"/>
    <w:rsid w:val="785773FB"/>
    <w:rsid w:val="788E4810"/>
    <w:rsid w:val="789E1E7C"/>
    <w:rsid w:val="78F01199"/>
    <w:rsid w:val="78F12C58"/>
    <w:rsid w:val="790D5048"/>
    <w:rsid w:val="7939289D"/>
    <w:rsid w:val="79683C8D"/>
    <w:rsid w:val="79696594"/>
    <w:rsid w:val="798D7647"/>
    <w:rsid w:val="79B83FCD"/>
    <w:rsid w:val="79CF4BCD"/>
    <w:rsid w:val="79DD4F98"/>
    <w:rsid w:val="79E953DD"/>
    <w:rsid w:val="79EE16D3"/>
    <w:rsid w:val="79F20D45"/>
    <w:rsid w:val="79FD7ED6"/>
    <w:rsid w:val="7A105BE5"/>
    <w:rsid w:val="7A5134BB"/>
    <w:rsid w:val="7ABB4F36"/>
    <w:rsid w:val="7AEA1057"/>
    <w:rsid w:val="7AF7465C"/>
    <w:rsid w:val="7B47389F"/>
    <w:rsid w:val="7B5D13A7"/>
    <w:rsid w:val="7B94335A"/>
    <w:rsid w:val="7BA11F95"/>
    <w:rsid w:val="7BA324E5"/>
    <w:rsid w:val="7BCF07E3"/>
    <w:rsid w:val="7C60541F"/>
    <w:rsid w:val="7C6A37B2"/>
    <w:rsid w:val="7C9D5E09"/>
    <w:rsid w:val="7CCC1C8E"/>
    <w:rsid w:val="7CF83087"/>
    <w:rsid w:val="7CFC5A02"/>
    <w:rsid w:val="7D043953"/>
    <w:rsid w:val="7D0D1304"/>
    <w:rsid w:val="7D5869A8"/>
    <w:rsid w:val="7D961A3E"/>
    <w:rsid w:val="7DE95AD1"/>
    <w:rsid w:val="7E1C7EBC"/>
    <w:rsid w:val="7ED01659"/>
    <w:rsid w:val="7EE54CF7"/>
    <w:rsid w:val="7F0E59E7"/>
    <w:rsid w:val="7F3C7823"/>
    <w:rsid w:val="7F543050"/>
    <w:rsid w:val="7F5855C6"/>
    <w:rsid w:val="7F780ADD"/>
    <w:rsid w:val="7F7F3613"/>
    <w:rsid w:val="7FB06E21"/>
    <w:rsid w:val="7FF778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6"/>
    <w:qFormat/>
    <w:uiPriority w:val="0"/>
    <w:pPr>
      <w:keepNext/>
      <w:keepLines/>
      <w:spacing w:before="340" w:after="330" w:line="578" w:lineRule="auto"/>
      <w:outlineLvl w:val="0"/>
    </w:pPr>
    <w:rPr>
      <w:b/>
      <w:bCs/>
      <w:kern w:val="44"/>
      <w:sz w:val="44"/>
      <w:szCs w:val="44"/>
    </w:rPr>
  </w:style>
  <w:style w:type="paragraph" w:styleId="3">
    <w:name w:val="heading 3"/>
    <w:basedOn w:val="1"/>
    <w:next w:val="1"/>
    <w:link w:val="36"/>
    <w:qFormat/>
    <w:uiPriority w:val="0"/>
    <w:pPr>
      <w:keepNext/>
      <w:keepLines/>
      <w:spacing w:before="260" w:after="260" w:line="416" w:lineRule="auto"/>
      <w:outlineLvl w:val="2"/>
    </w:pPr>
    <w:rPr>
      <w:b/>
      <w:bCs/>
      <w:kern w:val="0"/>
      <w:sz w:val="32"/>
      <w:szCs w:val="32"/>
    </w:rPr>
  </w:style>
  <w:style w:type="character" w:default="1" w:styleId="21">
    <w:name w:val="Default Paragraph Font"/>
    <w:semiHidden/>
    <w:unhideWhenUsed/>
    <w:uiPriority w:val="1"/>
  </w:style>
  <w:style w:type="table" w:default="1" w:styleId="19">
    <w:name w:val="Normal Table"/>
    <w:semiHidden/>
    <w:unhideWhenUsed/>
    <w:uiPriority w:val="99"/>
    <w:tblPr>
      <w:tblCellMar>
        <w:top w:w="0" w:type="dxa"/>
        <w:left w:w="108" w:type="dxa"/>
        <w:bottom w:w="0" w:type="dxa"/>
        <w:right w:w="108" w:type="dxa"/>
      </w:tblCellMar>
    </w:tblPr>
  </w:style>
  <w:style w:type="paragraph" w:styleId="4">
    <w:name w:val="Document Map"/>
    <w:basedOn w:val="1"/>
    <w:link w:val="40"/>
    <w:unhideWhenUsed/>
    <w:qFormat/>
    <w:uiPriority w:val="99"/>
    <w:rPr>
      <w:rFonts w:ascii="宋体"/>
      <w:sz w:val="18"/>
      <w:szCs w:val="18"/>
    </w:rPr>
  </w:style>
  <w:style w:type="paragraph" w:styleId="5">
    <w:name w:val="annotation text"/>
    <w:basedOn w:val="1"/>
    <w:semiHidden/>
    <w:qFormat/>
    <w:uiPriority w:val="0"/>
    <w:pPr>
      <w:jc w:val="left"/>
    </w:pPr>
  </w:style>
  <w:style w:type="paragraph" w:styleId="6">
    <w:name w:val="Body Text"/>
    <w:basedOn w:val="1"/>
    <w:qFormat/>
    <w:uiPriority w:val="0"/>
    <w:pPr>
      <w:spacing w:after="120"/>
    </w:pPr>
  </w:style>
  <w:style w:type="paragraph" w:styleId="7">
    <w:name w:val="Body Text Indent"/>
    <w:basedOn w:val="1"/>
    <w:link w:val="45"/>
    <w:unhideWhenUsed/>
    <w:qFormat/>
    <w:uiPriority w:val="0"/>
    <w:pPr>
      <w:spacing w:after="120"/>
      <w:ind w:left="420" w:leftChars="200"/>
    </w:pPr>
    <w:rPr>
      <w:kern w:val="0"/>
      <w:sz w:val="20"/>
    </w:rPr>
  </w:style>
  <w:style w:type="paragraph" w:styleId="8">
    <w:name w:val="toc 3"/>
    <w:basedOn w:val="1"/>
    <w:next w:val="1"/>
    <w:unhideWhenUsed/>
    <w:qFormat/>
    <w:uiPriority w:val="39"/>
    <w:pPr>
      <w:ind w:left="840" w:leftChars="400"/>
    </w:pPr>
  </w:style>
  <w:style w:type="paragraph" w:styleId="9">
    <w:name w:val="Date"/>
    <w:basedOn w:val="1"/>
    <w:next w:val="1"/>
    <w:link w:val="35"/>
    <w:unhideWhenUsed/>
    <w:qFormat/>
    <w:uiPriority w:val="0"/>
    <w:pPr>
      <w:ind w:left="100" w:leftChars="2500"/>
    </w:pPr>
    <w:rPr>
      <w:kern w:val="0"/>
      <w:sz w:val="20"/>
    </w:rPr>
  </w:style>
  <w:style w:type="paragraph" w:styleId="10">
    <w:name w:val="Body Text Indent 2"/>
    <w:basedOn w:val="1"/>
    <w:link w:val="44"/>
    <w:qFormat/>
    <w:uiPriority w:val="0"/>
    <w:pPr>
      <w:spacing w:line="600" w:lineRule="exact"/>
      <w:ind w:firstLine="600" w:firstLineChars="200"/>
    </w:pPr>
    <w:rPr>
      <w:rFonts w:ascii="仿宋_GB2312" w:hAnsi="宋体" w:eastAsia="仿宋_GB2312"/>
      <w:kern w:val="0"/>
      <w:sz w:val="30"/>
      <w:szCs w:val="30"/>
    </w:rPr>
  </w:style>
  <w:style w:type="paragraph" w:styleId="11">
    <w:name w:val="Balloon Text"/>
    <w:basedOn w:val="1"/>
    <w:link w:val="42"/>
    <w:semiHidden/>
    <w:qFormat/>
    <w:uiPriority w:val="0"/>
    <w:rPr>
      <w:kern w:val="0"/>
      <w:sz w:val="18"/>
      <w:szCs w:val="18"/>
    </w:rPr>
  </w:style>
  <w:style w:type="paragraph" w:styleId="12">
    <w:name w:val="footer"/>
    <w:basedOn w:val="1"/>
    <w:link w:val="38"/>
    <w:qFormat/>
    <w:uiPriority w:val="99"/>
    <w:pPr>
      <w:tabs>
        <w:tab w:val="center" w:pos="4153"/>
        <w:tab w:val="right" w:pos="8306"/>
      </w:tabs>
      <w:snapToGrid w:val="0"/>
      <w:jc w:val="left"/>
    </w:pPr>
    <w:rPr>
      <w:kern w:val="0"/>
      <w:sz w:val="18"/>
      <w:szCs w:val="18"/>
    </w:rPr>
  </w:style>
  <w:style w:type="paragraph" w:styleId="13">
    <w:name w:val="header"/>
    <w:basedOn w:val="1"/>
    <w:link w:val="39"/>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4">
    <w:name w:val="toc 1"/>
    <w:basedOn w:val="1"/>
    <w:next w:val="1"/>
    <w:unhideWhenUsed/>
    <w:qFormat/>
    <w:uiPriority w:val="39"/>
    <w:pPr>
      <w:tabs>
        <w:tab w:val="right" w:leader="dot" w:pos="8302"/>
      </w:tabs>
      <w:spacing w:line="360" w:lineRule="auto"/>
    </w:pPr>
  </w:style>
  <w:style w:type="paragraph" w:styleId="15">
    <w:name w:val="Body Text Indent 3"/>
    <w:basedOn w:val="1"/>
    <w:link w:val="34"/>
    <w:unhideWhenUsed/>
    <w:qFormat/>
    <w:uiPriority w:val="0"/>
    <w:pPr>
      <w:spacing w:after="120"/>
      <w:ind w:left="420" w:leftChars="200"/>
    </w:pPr>
    <w:rPr>
      <w:kern w:val="0"/>
      <w:sz w:val="16"/>
      <w:szCs w:val="16"/>
    </w:rPr>
  </w:style>
  <w:style w:type="paragraph" w:styleId="16">
    <w:name w:val="HTML Preformatted"/>
    <w:basedOn w:val="1"/>
    <w:link w:val="4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17">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18">
    <w:name w:val="annotation subject"/>
    <w:basedOn w:val="5"/>
    <w:next w:val="5"/>
    <w:semiHidden/>
    <w:qFormat/>
    <w:uiPriority w:val="0"/>
    <w:rPr>
      <w:b/>
      <w:bCs/>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qFormat/>
    <w:uiPriority w:val="0"/>
    <w:rPr>
      <w:b/>
      <w:bCs/>
    </w:rPr>
  </w:style>
  <w:style w:type="character" w:styleId="23">
    <w:name w:val="page number"/>
    <w:basedOn w:val="21"/>
    <w:qFormat/>
    <w:uiPriority w:val="0"/>
  </w:style>
  <w:style w:type="character" w:styleId="24">
    <w:name w:val="FollowedHyperlink"/>
    <w:qFormat/>
    <w:uiPriority w:val="0"/>
    <w:rPr>
      <w:color w:val="800080"/>
      <w:u w:val="single"/>
    </w:rPr>
  </w:style>
  <w:style w:type="character" w:styleId="25">
    <w:name w:val="Hyperlink"/>
    <w:qFormat/>
    <w:uiPriority w:val="99"/>
    <w:rPr>
      <w:color w:val="0000FF"/>
      <w:u w:val="single"/>
    </w:rPr>
  </w:style>
  <w:style w:type="character" w:styleId="26">
    <w:name w:val="annotation reference"/>
    <w:semiHidden/>
    <w:qFormat/>
    <w:uiPriority w:val="0"/>
    <w:rPr>
      <w:sz w:val="21"/>
      <w:szCs w:val="21"/>
    </w:rPr>
  </w:style>
  <w:style w:type="paragraph" w:customStyle="1" w:styleId="27">
    <w:name w:val="_Style 26"/>
    <w:basedOn w:val="2"/>
    <w:next w:val="1"/>
    <w:qFormat/>
    <w:uiPriority w:val="39"/>
    <w:pPr>
      <w:widowControl/>
      <w:spacing w:before="480" w:after="0" w:line="276" w:lineRule="auto"/>
      <w:jc w:val="left"/>
      <w:outlineLvl w:val="9"/>
    </w:pPr>
    <w:rPr>
      <w:rFonts w:ascii="Cambria" w:hAnsi="Cambria"/>
      <w:color w:val="365F91"/>
      <w:kern w:val="0"/>
      <w:sz w:val="28"/>
      <w:szCs w:val="28"/>
      <w:lang w:eastAsia="en-US"/>
    </w:rPr>
  </w:style>
  <w:style w:type="paragraph" w:customStyle="1" w:styleId="28">
    <w:name w:val="彩色底纹 - 着色 11"/>
    <w:semiHidden/>
    <w:qFormat/>
    <w:uiPriority w:val="99"/>
    <w:pPr>
      <w:spacing w:after="160" w:line="278" w:lineRule="auto"/>
    </w:pPr>
    <w:rPr>
      <w:rFonts w:ascii="Times New Roman" w:hAnsi="Times New Roman" w:eastAsia="宋体" w:cs="Times New Roman"/>
      <w:kern w:val="2"/>
      <w:sz w:val="21"/>
      <w:szCs w:val="24"/>
      <w:lang w:val="en-US" w:eastAsia="zh-CN" w:bidi="ar-SA"/>
    </w:rPr>
  </w:style>
  <w:style w:type="paragraph" w:customStyle="1" w:styleId="29">
    <w:name w:val="彩色列表 - 着色 11"/>
    <w:basedOn w:val="1"/>
    <w:qFormat/>
    <w:uiPriority w:val="34"/>
    <w:pPr>
      <w:ind w:firstLine="420" w:firstLineChars="200"/>
    </w:pPr>
  </w:style>
  <w:style w:type="paragraph" w:customStyle="1" w:styleId="30">
    <w:name w:val="Default"/>
    <w:qFormat/>
    <w:uiPriority w:val="0"/>
    <w:pPr>
      <w:widowControl w:val="0"/>
      <w:autoSpaceDE w:val="0"/>
      <w:autoSpaceDN w:val="0"/>
      <w:adjustRightInd w:val="0"/>
      <w:spacing w:after="160" w:line="278" w:lineRule="auto"/>
    </w:pPr>
    <w:rPr>
      <w:rFonts w:ascii="宋体" w:hAnsi="Times New Roman" w:eastAsia="宋体" w:cs="宋体"/>
      <w:color w:val="000000"/>
      <w:sz w:val="24"/>
      <w:szCs w:val="24"/>
      <w:lang w:val="en-US" w:eastAsia="zh-CN" w:bidi="ar-SA"/>
    </w:rPr>
  </w:style>
  <w:style w:type="paragraph" w:styleId="31">
    <w:name w:val="List Paragraph"/>
    <w:basedOn w:val="1"/>
    <w:qFormat/>
    <w:uiPriority w:val="34"/>
    <w:pPr>
      <w:ind w:firstLine="420" w:firstLineChars="200"/>
    </w:pPr>
  </w:style>
  <w:style w:type="paragraph" w:customStyle="1" w:styleId="32">
    <w:name w:val="第四层 （一） Char Char"/>
    <w:qFormat/>
    <w:uiPriority w:val="0"/>
    <w:pPr>
      <w:spacing w:before="120" w:after="160" w:line="360" w:lineRule="auto"/>
    </w:pPr>
    <w:rPr>
      <w:rFonts w:ascii="Times New Roman" w:hAnsi="Times New Roman" w:eastAsia="宋体" w:cs="Times New Roman"/>
      <w:b/>
      <w:bCs/>
      <w:kern w:val="2"/>
      <w:sz w:val="24"/>
      <w:szCs w:val="24"/>
      <w:lang w:val="en-US" w:eastAsia="zh-CN" w:bidi="ar-SA"/>
    </w:rPr>
  </w:style>
  <w:style w:type="paragraph" w:customStyle="1" w:styleId="33">
    <w:name w:val="005正文"/>
    <w:basedOn w:val="1"/>
    <w:link w:val="47"/>
    <w:qFormat/>
    <w:uiPriority w:val="0"/>
    <w:pPr>
      <w:spacing w:beforeLines="50" w:line="360" w:lineRule="auto"/>
      <w:ind w:firstLine="200" w:firstLineChars="200"/>
    </w:pPr>
    <w:rPr>
      <w:sz w:val="24"/>
      <w:szCs w:val="22"/>
    </w:rPr>
  </w:style>
  <w:style w:type="character" w:customStyle="1" w:styleId="34">
    <w:name w:val="正文文本缩进 3 字符"/>
    <w:link w:val="15"/>
    <w:qFormat/>
    <w:uiPriority w:val="0"/>
    <w:rPr>
      <w:rFonts w:ascii="Times New Roman" w:hAnsi="Times New Roman" w:eastAsia="宋体" w:cs="Times New Roman"/>
      <w:sz w:val="16"/>
      <w:szCs w:val="16"/>
    </w:rPr>
  </w:style>
  <w:style w:type="character" w:customStyle="1" w:styleId="35">
    <w:name w:val="日期 字符"/>
    <w:link w:val="9"/>
    <w:qFormat/>
    <w:uiPriority w:val="0"/>
    <w:rPr>
      <w:rFonts w:ascii="Times New Roman" w:hAnsi="Times New Roman" w:eastAsia="宋体" w:cs="Times New Roman"/>
      <w:szCs w:val="24"/>
    </w:rPr>
  </w:style>
  <w:style w:type="character" w:customStyle="1" w:styleId="36">
    <w:name w:val="标题 3 字符"/>
    <w:link w:val="3"/>
    <w:qFormat/>
    <w:uiPriority w:val="0"/>
    <w:rPr>
      <w:rFonts w:ascii="Times New Roman" w:hAnsi="Times New Roman" w:eastAsia="宋体" w:cs="Times New Roman"/>
      <w:b/>
      <w:bCs/>
      <w:sz w:val="32"/>
      <w:szCs w:val="32"/>
    </w:rPr>
  </w:style>
  <w:style w:type="character" w:customStyle="1" w:styleId="37">
    <w:name w:val="font01"/>
    <w:qFormat/>
    <w:uiPriority w:val="0"/>
    <w:rPr>
      <w:rFonts w:hint="eastAsia" w:ascii="宋体" w:hAnsi="宋体" w:eastAsia="宋体" w:cs="宋体"/>
      <w:color w:val="000000"/>
      <w:sz w:val="22"/>
      <w:szCs w:val="22"/>
      <w:u w:val="none"/>
    </w:rPr>
  </w:style>
  <w:style w:type="character" w:customStyle="1" w:styleId="38">
    <w:name w:val="页脚 字符"/>
    <w:link w:val="12"/>
    <w:qFormat/>
    <w:uiPriority w:val="99"/>
    <w:rPr>
      <w:rFonts w:ascii="Times New Roman" w:hAnsi="Times New Roman" w:eastAsia="宋体" w:cs="Times New Roman"/>
      <w:sz w:val="18"/>
      <w:szCs w:val="18"/>
    </w:rPr>
  </w:style>
  <w:style w:type="character" w:customStyle="1" w:styleId="39">
    <w:name w:val="页眉 字符"/>
    <w:link w:val="13"/>
    <w:qFormat/>
    <w:uiPriority w:val="99"/>
    <w:rPr>
      <w:rFonts w:ascii="Times New Roman" w:hAnsi="Times New Roman" w:eastAsia="宋体" w:cs="Times New Roman"/>
      <w:sz w:val="18"/>
      <w:szCs w:val="18"/>
    </w:rPr>
  </w:style>
  <w:style w:type="character" w:customStyle="1" w:styleId="40">
    <w:name w:val="文档结构图 字符"/>
    <w:link w:val="4"/>
    <w:semiHidden/>
    <w:qFormat/>
    <w:uiPriority w:val="99"/>
    <w:rPr>
      <w:rFonts w:ascii="宋体" w:hAnsi="Times New Roman"/>
      <w:kern w:val="2"/>
      <w:sz w:val="18"/>
      <w:szCs w:val="18"/>
    </w:rPr>
  </w:style>
  <w:style w:type="character" w:customStyle="1" w:styleId="41">
    <w:name w:val="HTML 预设格式 字符"/>
    <w:link w:val="16"/>
    <w:qFormat/>
    <w:uiPriority w:val="0"/>
    <w:rPr>
      <w:rFonts w:ascii="宋体" w:hAnsi="宋体" w:eastAsia="宋体" w:cs="宋体"/>
      <w:kern w:val="0"/>
      <w:sz w:val="24"/>
      <w:szCs w:val="24"/>
    </w:rPr>
  </w:style>
  <w:style w:type="character" w:customStyle="1" w:styleId="42">
    <w:name w:val="批注框文本 字符"/>
    <w:link w:val="11"/>
    <w:semiHidden/>
    <w:qFormat/>
    <w:uiPriority w:val="0"/>
    <w:rPr>
      <w:rFonts w:ascii="Times New Roman" w:hAnsi="Times New Roman" w:eastAsia="宋体" w:cs="Times New Roman"/>
      <w:sz w:val="18"/>
      <w:szCs w:val="18"/>
    </w:rPr>
  </w:style>
  <w:style w:type="character" w:customStyle="1" w:styleId="43">
    <w:name w:val="apple-style-span"/>
    <w:basedOn w:val="21"/>
    <w:qFormat/>
    <w:uiPriority w:val="0"/>
  </w:style>
  <w:style w:type="character" w:customStyle="1" w:styleId="44">
    <w:name w:val="正文文本缩进 2 字符"/>
    <w:link w:val="10"/>
    <w:qFormat/>
    <w:uiPriority w:val="0"/>
    <w:rPr>
      <w:rFonts w:ascii="仿宋_GB2312" w:hAnsi="宋体" w:eastAsia="仿宋_GB2312" w:cs="Times New Roman"/>
      <w:sz w:val="30"/>
      <w:szCs w:val="30"/>
    </w:rPr>
  </w:style>
  <w:style w:type="character" w:customStyle="1" w:styleId="45">
    <w:name w:val="正文文本缩进 字符"/>
    <w:link w:val="7"/>
    <w:qFormat/>
    <w:uiPriority w:val="0"/>
    <w:rPr>
      <w:rFonts w:ascii="Times New Roman" w:hAnsi="Times New Roman" w:eastAsia="宋体" w:cs="Times New Roman"/>
      <w:szCs w:val="24"/>
    </w:rPr>
  </w:style>
  <w:style w:type="character" w:customStyle="1" w:styleId="46">
    <w:name w:val="标题 1 字符"/>
    <w:link w:val="2"/>
    <w:qFormat/>
    <w:uiPriority w:val="0"/>
    <w:rPr>
      <w:rFonts w:ascii="Times New Roman" w:hAnsi="Times New Roman" w:eastAsia="宋体" w:cs="Times New Roman"/>
      <w:b/>
      <w:bCs/>
      <w:kern w:val="44"/>
      <w:sz w:val="44"/>
      <w:szCs w:val="44"/>
    </w:rPr>
  </w:style>
  <w:style w:type="character" w:customStyle="1" w:styleId="47">
    <w:name w:val="005正文 Char"/>
    <w:link w:val="33"/>
    <w:qFormat/>
    <w:uiPriority w:val="0"/>
    <w:rPr>
      <w:rFonts w:ascii="Times New Roman" w:hAnsi="Times New Roman"/>
      <w:kern w:val="2"/>
      <w:sz w:val="24"/>
      <w:szCs w:val="22"/>
    </w:rPr>
  </w:style>
  <w:style w:type="character" w:customStyle="1" w:styleId="48">
    <w:name w:val="font21"/>
    <w:qFormat/>
    <w:uiPriority w:val="0"/>
    <w:rPr>
      <w:rFonts w:hint="default" w:ascii="Times New Roman" w:hAnsi="Times New Roman" w:cs="Times New Roman"/>
      <w:color w:val="000000"/>
      <w:sz w:val="22"/>
      <w:szCs w:val="22"/>
      <w:u w:val="none"/>
    </w:rPr>
  </w:style>
  <w:style w:type="paragraph" w:customStyle="1" w:styleId="49">
    <w:name w:val="修订1"/>
    <w:hidden/>
    <w:semiHidden/>
    <w:qFormat/>
    <w:uiPriority w:val="99"/>
    <w:pPr>
      <w:spacing w:after="160" w:line="278" w:lineRule="auto"/>
    </w:pPr>
    <w:rPr>
      <w:rFonts w:ascii="Times New Roman" w:hAnsi="Times New Roman" w:eastAsia="宋体" w:cs="Times New Roman"/>
      <w:kern w:val="2"/>
      <w:sz w:val="21"/>
      <w:szCs w:val="24"/>
      <w:lang w:val="en-US" w:eastAsia="zh-CN" w:bidi="ar-SA"/>
    </w:rPr>
  </w:style>
  <w:style w:type="paragraph" w:customStyle="1" w:styleId="50">
    <w:name w:val="Revision1"/>
    <w:hidden/>
    <w:semiHidden/>
    <w:qFormat/>
    <w:uiPriority w:val="99"/>
    <w:pPr>
      <w:spacing w:after="160" w:line="278" w:lineRule="auto"/>
    </w:pPr>
    <w:rPr>
      <w:rFonts w:ascii="Times New Roman" w:hAnsi="Times New Roman" w:eastAsia="宋体" w:cs="Times New Roman"/>
      <w:kern w:val="2"/>
      <w:sz w:val="21"/>
      <w:szCs w:val="24"/>
      <w:lang w:val="en-US" w:eastAsia="zh-CN" w:bidi="ar-SA"/>
    </w:rPr>
  </w:style>
  <w:style w:type="paragraph" w:customStyle="1" w:styleId="51">
    <w:name w:val="Revision2"/>
    <w:hidden/>
    <w:semiHidden/>
    <w:qFormat/>
    <w:uiPriority w:val="99"/>
    <w:pPr>
      <w:spacing w:after="160" w:line="278" w:lineRule="auto"/>
    </w:pPr>
    <w:rPr>
      <w:rFonts w:ascii="Times New Roman" w:hAnsi="Times New Roman" w:eastAsia="宋体" w:cs="Times New Roman"/>
      <w:kern w:val="2"/>
      <w:sz w:val="21"/>
      <w:szCs w:val="24"/>
      <w:lang w:val="en-US" w:eastAsia="zh-CN" w:bidi="ar-SA"/>
    </w:rPr>
  </w:style>
  <w:style w:type="paragraph" w:customStyle="1" w:styleId="52">
    <w:name w:val="修订2"/>
    <w:hidden/>
    <w:semiHidden/>
    <w:qFormat/>
    <w:uiPriority w:val="99"/>
    <w:pPr>
      <w:spacing w:after="160" w:line="278" w:lineRule="auto"/>
    </w:pPr>
    <w:rPr>
      <w:rFonts w:ascii="Times New Roman" w:hAnsi="Times New Roman" w:eastAsia="宋体" w:cs="Times New Roman"/>
      <w:kern w:val="2"/>
      <w:sz w:val="21"/>
      <w:szCs w:val="24"/>
      <w:lang w:val="en-US" w:eastAsia="zh-CN" w:bidi="ar-SA"/>
    </w:rPr>
  </w:style>
  <w:style w:type="paragraph" w:customStyle="1" w:styleId="53">
    <w:name w:val="修订3"/>
    <w:hidden/>
    <w:semiHidden/>
    <w:qFormat/>
    <w:uiPriority w:val="99"/>
    <w:pPr>
      <w:spacing w:after="160" w:line="278" w:lineRule="auto"/>
    </w:pPr>
    <w:rPr>
      <w:rFonts w:ascii="Times New Roman" w:hAnsi="Times New Roman" w:eastAsia="宋体" w:cs="Times New Roman"/>
      <w:kern w:val="2"/>
      <w:sz w:val="21"/>
      <w:szCs w:val="24"/>
      <w:lang w:val="en-US" w:eastAsia="zh-CN" w:bidi="ar-SA"/>
    </w:rPr>
  </w:style>
  <w:style w:type="paragraph" w:customStyle="1" w:styleId="54">
    <w:name w:val="修订4"/>
    <w:hidden/>
    <w:semiHidden/>
    <w:qFormat/>
    <w:uiPriority w:val="99"/>
    <w:pPr>
      <w:spacing w:after="160" w:line="278" w:lineRule="auto"/>
    </w:pPr>
    <w:rPr>
      <w:rFonts w:ascii="Times New Roman" w:hAnsi="Times New Roman" w:eastAsia="宋体" w:cs="Times New Roman"/>
      <w:kern w:val="2"/>
      <w:sz w:val="21"/>
      <w:szCs w:val="24"/>
      <w:lang w:val="en-US" w:eastAsia="zh-CN" w:bidi="ar-SA"/>
    </w:rPr>
  </w:style>
  <w:style w:type="paragraph" w:customStyle="1" w:styleId="55">
    <w:name w:val="修订5"/>
    <w:hidden/>
    <w:semiHidden/>
    <w:qFormat/>
    <w:uiPriority w:val="99"/>
    <w:pPr>
      <w:spacing w:after="160" w:line="278" w:lineRule="auto"/>
    </w:pPr>
    <w:rPr>
      <w:rFonts w:ascii="Times New Roman" w:hAnsi="Times New Roman" w:eastAsia="宋体" w:cs="Times New Roman"/>
      <w:kern w:val="2"/>
      <w:sz w:val="21"/>
      <w:szCs w:val="24"/>
      <w:lang w:val="en-US" w:eastAsia="zh-CN" w:bidi="ar-SA"/>
    </w:rPr>
  </w:style>
  <w:style w:type="paragraph" w:customStyle="1" w:styleId="56">
    <w:name w:val="修订6"/>
    <w:hidden/>
    <w:unhideWhenUsed/>
    <w:qFormat/>
    <w:uiPriority w:val="99"/>
    <w:pPr>
      <w:spacing w:after="160" w:line="278" w:lineRule="auto"/>
    </w:pPr>
    <w:rPr>
      <w:rFonts w:ascii="Times New Roman" w:hAnsi="Times New Roman" w:eastAsia="宋体" w:cs="Times New Roman"/>
      <w:kern w:val="2"/>
      <w:sz w:val="21"/>
      <w:szCs w:val="24"/>
      <w:lang w:val="en-US" w:eastAsia="zh-CN" w:bidi="ar-SA"/>
    </w:rPr>
  </w:style>
  <w:style w:type="paragraph" w:customStyle="1" w:styleId="57">
    <w:name w:val="Revision"/>
    <w:hidden/>
    <w:unhideWhenUsed/>
    <w:uiPriority w:val="99"/>
    <w:pPr>
      <w:spacing w:after="0" w:line="240" w:lineRule="auto"/>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799267-477F-41E3-9F82-636ABB1A3B77}">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8</Pages>
  <Words>2227</Words>
  <Characters>2451</Characters>
  <Lines>102</Lines>
  <Paragraphs>75</Paragraphs>
  <TotalTime>19</TotalTime>
  <ScaleCrop>false</ScaleCrop>
  <LinksUpToDate>false</LinksUpToDate>
  <CharactersWithSpaces>4603</CharactersWithSpaces>
  <Application>WPS Office_11.8.2.12307_F1E327BC-269C-435d-A152-05C5408002CA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2025-10-29T11:38:00Z</dcterms:created>
  <dc:creator>user</dc:creator>
  <cp:lastModifiedBy>Tianci</cp:lastModifiedBy>
  <cp:lastPrinted>2012-11-19T01:56:00Z</cp:lastPrinted>
  <dcterms:modified xsi:type="dcterms:W3CDTF">2025-10-30T02:04:09Z</dcterms:modified>
  <dc:title>上海证券交易所</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2052-11.8.2.12307</vt:lpwstr>
  </property>
  <property fmtid="{D5CDD505-2E9C-101B-9397-08002B2CF9AE}" pid="3" name="ICV">
    <vt:lpwstr>3D0AE988D7D7442B909D95988D0845A9</vt:lpwstr>
  </property>
</Properties>
</file>