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F7F93">
      <w:pPr>
        <w:keepNext/>
        <w:keepLines/>
        <w:spacing w:before="260" w:after="260" w:line="360" w:lineRule="auto"/>
        <w:outlineLvl w:val="1"/>
        <w:rPr>
          <w:rFonts w:hint="eastAsia" w:ascii="宋体" w:hAnsi="宋体"/>
          <w:b/>
          <w:bCs/>
          <w:iCs/>
          <w:sz w:val="24"/>
          <w:szCs w:val="24"/>
        </w:rPr>
      </w:pPr>
      <w:r>
        <w:rPr>
          <w:rFonts w:hint="eastAsia" w:ascii="宋体" w:hAnsi="宋体"/>
          <w:b/>
          <w:bCs/>
          <w:iCs/>
          <w:sz w:val="24"/>
          <w:szCs w:val="24"/>
        </w:rPr>
        <w:t>证券代码：688621                                证券简称：阳光诺和</w:t>
      </w:r>
    </w:p>
    <w:p w14:paraId="193C9A26">
      <w:pPr>
        <w:keepNext/>
        <w:keepLines/>
        <w:spacing w:before="20" w:after="20"/>
        <w:jc w:val="center"/>
        <w:outlineLvl w:val="1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北京阳光诺和药物研究</w:t>
      </w:r>
      <w:r>
        <w:rPr>
          <w:rFonts w:hint="eastAsia" w:ascii="宋体" w:hAnsi="宋体"/>
          <w:b/>
          <w:bCs/>
          <w:sz w:val="36"/>
          <w:szCs w:val="36"/>
        </w:rPr>
        <w:t>股份有限公司</w:t>
      </w:r>
    </w:p>
    <w:p w14:paraId="1DE76FD4">
      <w:pPr>
        <w:keepNext/>
        <w:keepLines/>
        <w:spacing w:before="20" w:after="20"/>
        <w:jc w:val="center"/>
        <w:outlineLvl w:val="1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投资者关系活动记录表</w:t>
      </w:r>
    </w:p>
    <w:p w14:paraId="1D3EAABF">
      <w:pPr>
        <w:spacing w:line="360" w:lineRule="auto"/>
        <w:jc w:val="center"/>
        <w:rPr>
          <w:rFonts w:hint="eastAsia" w:ascii="宋体" w:hAnsi="宋体"/>
          <w:b/>
          <w:iCs/>
          <w:sz w:val="24"/>
          <w:szCs w:val="24"/>
        </w:rPr>
      </w:pPr>
      <w:r>
        <w:rPr>
          <w:rFonts w:hint="eastAsia" w:ascii="宋体" w:hAnsi="宋体"/>
          <w:b/>
          <w:iCs/>
          <w:sz w:val="24"/>
          <w:szCs w:val="24"/>
        </w:rPr>
        <w:t>（20</w:t>
      </w:r>
      <w:r>
        <w:rPr>
          <w:rFonts w:ascii="宋体" w:hAnsi="宋体"/>
          <w:b/>
          <w:iCs/>
          <w:sz w:val="24"/>
          <w:szCs w:val="24"/>
        </w:rPr>
        <w:t>2</w:t>
      </w:r>
      <w:r>
        <w:rPr>
          <w:rFonts w:hint="eastAsia" w:ascii="宋体" w:hAnsi="宋体"/>
          <w:b/>
          <w:iCs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b/>
          <w:iCs/>
          <w:sz w:val="24"/>
          <w:szCs w:val="24"/>
        </w:rPr>
        <w:t>年</w:t>
      </w:r>
      <w:r>
        <w:rPr>
          <w:rFonts w:hint="eastAsia" w:ascii="宋体" w:hAnsi="宋体"/>
          <w:b/>
          <w:iCs/>
          <w:sz w:val="24"/>
          <w:szCs w:val="24"/>
          <w:lang w:val="en-US" w:eastAsia="zh-CN"/>
        </w:rPr>
        <w:t>10</w:t>
      </w:r>
      <w:r>
        <w:rPr>
          <w:rFonts w:hint="eastAsia" w:ascii="宋体" w:hAnsi="宋体"/>
          <w:b/>
          <w:iCs/>
          <w:sz w:val="24"/>
          <w:szCs w:val="24"/>
        </w:rPr>
        <w:t>月）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203"/>
      </w:tblGrid>
      <w:tr w14:paraId="2F973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 w14:paraId="199D38DD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投资者关系活动类别</w:t>
            </w:r>
          </w:p>
        </w:tc>
        <w:tc>
          <w:tcPr>
            <w:tcW w:w="6203" w:type="dxa"/>
            <w:vAlign w:val="center"/>
          </w:tcPr>
          <w:p w14:paraId="4936C92A">
            <w:pPr>
              <w:spacing w:line="360" w:lineRule="auto"/>
              <w:rPr>
                <w:rFonts w:hint="eastAsia"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sym w:font="Wingdings 2" w:char="0052"/>
            </w:r>
            <w:r>
              <w:rPr>
                <w:rFonts w:hint="eastAsia" w:ascii="宋体" w:hAnsi="宋体"/>
                <w:sz w:val="24"/>
                <w:szCs w:val="24"/>
              </w:rPr>
              <w:t xml:space="preserve">特定对象调研        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分析师会议</w:t>
            </w:r>
          </w:p>
          <w:p w14:paraId="39B80EF3">
            <w:pPr>
              <w:spacing w:line="360" w:lineRule="auto"/>
              <w:rPr>
                <w:rFonts w:hint="eastAsia"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媒体采访            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业绩说明会</w:t>
            </w:r>
          </w:p>
          <w:p w14:paraId="7EBD013F">
            <w:pPr>
              <w:spacing w:line="360" w:lineRule="auto"/>
              <w:rPr>
                <w:rFonts w:hint="eastAsia"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新闻发布会          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路演活动</w:t>
            </w:r>
          </w:p>
          <w:p w14:paraId="51719483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hint="eastAsia"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/>
                <w:sz w:val="24"/>
                <w:szCs w:val="24"/>
              </w:rPr>
              <w:t>现场参观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ab/>
            </w:r>
          </w:p>
          <w:p w14:paraId="232496E4">
            <w:pPr>
              <w:tabs>
                <w:tab w:val="center" w:pos="3199"/>
              </w:tabs>
              <w:spacing w:line="360" w:lineRule="auto"/>
              <w:rPr>
                <w:rFonts w:hint="eastAsia"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其他（电话会议）</w:t>
            </w:r>
          </w:p>
        </w:tc>
      </w:tr>
      <w:tr w14:paraId="622A3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 w14:paraId="72B2D1EE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参与单位名称</w:t>
            </w:r>
          </w:p>
        </w:tc>
        <w:tc>
          <w:tcPr>
            <w:tcW w:w="6203" w:type="dxa"/>
          </w:tcPr>
          <w:p w14:paraId="7CE61A69">
            <w:pPr>
              <w:spacing w:line="360" w:lineRule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海富通基金、深圳市尚诚资管、创金合信基金、银河基金、光大证券、申万菱信基金、长江证券资管、天治基金、上海新伯霖私募、中融汇信投资、华安证券、华能贵诚信托、太平洋证券、国泰海通、青骊投资、中泰证券、东吴证券、英诺特、金科控股、青榕资管、中信期货、华夏基金、招商证券、南华基金、兴业证券、山东驼铃私募、上海东方证券资管、中信证券、浙江益恒投资、浙江韶夏投资、华鑫证券、上海南土资管、国盛证券、信达证券、东方证券、开源证券、方正证券、国信证券、浙商医药、中银国际证券、荷荷晴川私募、北京明希资本、西部利得基金、世真投资、Valliance璞林资本、深圳大道至诚投资、易同投资、广发证券、佛山市东盈投资、青骊投资、嘉实基金、中国国际金融、享融智云、开源医药、中昂国际、中国人民健康保险</w:t>
            </w:r>
            <w:bookmarkStart w:id="0" w:name="_GoBack"/>
            <w:bookmarkEnd w:id="0"/>
          </w:p>
        </w:tc>
      </w:tr>
      <w:tr w14:paraId="63BC6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 w14:paraId="1A8094E6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时间</w:t>
            </w:r>
          </w:p>
        </w:tc>
        <w:tc>
          <w:tcPr>
            <w:tcW w:w="6203" w:type="dxa"/>
          </w:tcPr>
          <w:p w14:paraId="326BC5A2">
            <w:pPr>
              <w:spacing w:line="360" w:lineRule="auto"/>
              <w:rPr>
                <w:rFonts w:hint="default" w:ascii="宋体" w:hAnsi="宋体" w:eastAsia="宋体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20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日</w:t>
            </w:r>
          </w:p>
        </w:tc>
      </w:tr>
      <w:tr w14:paraId="2448A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 w14:paraId="3FEB7A8D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参会方式</w:t>
            </w:r>
          </w:p>
        </w:tc>
        <w:tc>
          <w:tcPr>
            <w:tcW w:w="6203" w:type="dxa"/>
          </w:tcPr>
          <w:p w14:paraId="4C5F5090">
            <w:pPr>
              <w:spacing w:line="360" w:lineRule="auto"/>
              <w:rPr>
                <w:rFonts w:hint="eastAsia" w:ascii="宋体" w:hAnsi="宋体"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线上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会议</w:t>
            </w:r>
          </w:p>
        </w:tc>
      </w:tr>
      <w:tr w14:paraId="22003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 w14:paraId="25249036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6203" w:type="dxa"/>
            <w:vAlign w:val="center"/>
          </w:tcPr>
          <w:p w14:paraId="3DF08B4D">
            <w:pPr>
              <w:spacing w:line="360" w:lineRule="auto"/>
              <w:rPr>
                <w:rFonts w:hint="default" w:ascii="宋体" w:hAnsi="宋体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董事会秘书：魏丽萍女士</w:t>
            </w:r>
          </w:p>
          <w:p w14:paraId="5422822E">
            <w:pPr>
              <w:spacing w:line="360" w:lineRule="auto"/>
              <w:rPr>
                <w:rFonts w:hint="default" w:ascii="宋体" w:hAnsi="宋体"/>
                <w:bCs/>
                <w:iCs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投资者关系总监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  <w:lang w:val="en-US" w:eastAsia="zh-CN"/>
              </w:rPr>
              <w:t>郭心驰女士</w:t>
            </w:r>
          </w:p>
        </w:tc>
      </w:tr>
      <w:tr w14:paraId="276D9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 w14:paraId="0394FAC4"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</w:tc>
        <w:tc>
          <w:tcPr>
            <w:tcW w:w="6203" w:type="dxa"/>
          </w:tcPr>
          <w:p w14:paraId="1DF44911">
            <w:pPr>
              <w:numPr>
                <w:ilvl w:val="255"/>
                <w:numId w:val="0"/>
              </w:numPr>
              <w:spacing w:before="156" w:beforeLines="50"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一、公司介绍环节</w:t>
            </w:r>
          </w:p>
          <w:p w14:paraId="7B9DA2E2">
            <w:pPr>
              <w:numPr>
                <w:ilvl w:val="255"/>
                <w:numId w:val="0"/>
              </w:numPr>
              <w:spacing w:before="156" w:beforeLines="50" w:line="360" w:lineRule="auto"/>
              <w:ind w:firstLine="480" w:firstLineChars="200"/>
              <w:rPr>
                <w:rFonts w:hint="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公司是一家专业的药物临床前及临床综合研发服务 CRO，为国内医药企业和科研机构提供全方位的一站式药物研发服务，致力于协助国内医药制造企业加速实现进口替代和自主创新。服务内容主要包括药物发现、药理药效、药学研究、临床研究和生物分析。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作为一家专注于药物创新研发的综合性企业，阳光诺和通过“研发服务+管线培育+新质产业链”三位一体战略，在自研创新、技术升级及全球化布局上实现多重突破，展现出从CRO“委托方”向创新驱动型“合作方”转型的强劲势能。</w:t>
            </w:r>
          </w:p>
          <w:p w14:paraId="3C74F722">
            <w:pPr>
              <w:numPr>
                <w:ilvl w:val="255"/>
                <w:numId w:val="0"/>
              </w:numPr>
              <w:spacing w:before="156" w:beforeLines="50" w:line="360" w:lineRule="auto"/>
              <w:ind w:firstLine="480" w:firstLineChars="200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highlight w:val="none"/>
                <w:lang w:val="en-US" w:eastAsia="zh-CN" w:bidi="ar"/>
              </w:rPr>
              <w:t>2025年前三季度公司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bidi="ar"/>
              </w:rPr>
              <w:t>实现营业收入8.56亿元，归属于上市公司股东的净利润1.63亿元。经营活动产生的现金流量净额1.48亿元，同比</w:t>
            </w:r>
            <w:r>
              <w:rPr>
                <w:rFonts w:hint="eastAsia" w:cs="Times New Roman"/>
                <w:sz w:val="24"/>
                <w:szCs w:val="24"/>
                <w:highlight w:val="none"/>
                <w:lang w:val="en-US" w:eastAsia="zh-CN" w:bidi="ar"/>
              </w:rPr>
              <w:t>增长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highlight w:val="none"/>
                <w:lang w:bidi="ar"/>
              </w:rPr>
              <w:t>36.63%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bidi="ar"/>
              </w:rPr>
              <w:t>，</w:t>
            </w:r>
            <w:r>
              <w:rPr>
                <w:rFonts w:hint="default"/>
                <w:sz w:val="24"/>
                <w:lang w:val="en-US" w:eastAsia="zh-CN"/>
              </w:rPr>
              <w:t>研发创新方面，公司不断加大研发投入，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bidi="ar"/>
              </w:rPr>
              <w:t>研发费用占营业收入的比例为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cs="Times New Roman"/>
                <w:sz w:val="24"/>
                <w:szCs w:val="24"/>
                <w:lang w:val="en-US" w:eastAsia="zh-CN" w:bidi="ar"/>
              </w:rPr>
              <w:t>3.50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bidi="ar"/>
              </w:rPr>
              <w:t>%，</w:t>
            </w:r>
            <w:r>
              <w:rPr>
                <w:rFonts w:hint="eastAsia" w:cs="Times New Roman"/>
                <w:sz w:val="24"/>
                <w:szCs w:val="24"/>
                <w:lang w:val="en-US" w:eastAsia="zh-CN" w:bidi="ar"/>
              </w:rPr>
              <w:t>创新药在研管线20多条，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bidi="ar"/>
              </w:rPr>
              <w:t>研发项目累计已超4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bidi="ar"/>
              </w:rPr>
              <w:t>0项。</w:t>
            </w:r>
            <w:r>
              <w:rPr>
                <w:rFonts w:hint="default"/>
                <w:sz w:val="24"/>
                <w:lang w:val="en-US" w:eastAsia="zh-CN"/>
              </w:rPr>
              <w:t>在创新药研发方面在研产品主要应用在镇痛、肾病与透析、肿瘤辅助、心脑血管、抗菌用药等适应症领域，并有多个创新药在研项目在国内无相同产品上市，竞争格局良好，极具市场价值。后续随着这些药品上市，将为公司拓展更多临床应用场景提供可能性。例如在多肽领域</w:t>
            </w:r>
            <w:r>
              <w:rPr>
                <w:rFonts w:hint="eastAsia"/>
                <w:sz w:val="24"/>
                <w:lang w:val="en-US" w:eastAsia="zh-CN"/>
              </w:rPr>
              <w:t>，</w:t>
            </w:r>
            <w:r>
              <w:rPr>
                <w:rFonts w:hint="default"/>
                <w:sz w:val="24"/>
                <w:lang w:val="en-US" w:eastAsia="zh-CN"/>
              </w:rPr>
              <w:t>公司目前已有3个适应症管线进入临床</w:t>
            </w:r>
            <w:r>
              <w:rPr>
                <w:rFonts w:hint="eastAsia"/>
                <w:sz w:val="24"/>
                <w:lang w:val="en-US" w:eastAsia="zh-CN"/>
              </w:rPr>
              <w:t>，</w:t>
            </w:r>
            <w:r>
              <w:rPr>
                <w:rFonts w:hint="default"/>
                <w:sz w:val="24"/>
                <w:lang w:val="en-US" w:eastAsia="zh-CN"/>
              </w:rPr>
              <w:t>其中STC007注射液目前具有手术</w:t>
            </w:r>
            <w:r>
              <w:rPr>
                <w:rFonts w:hint="eastAsia"/>
                <w:sz w:val="24"/>
                <w:lang w:val="en-US" w:eastAsia="zh-CN"/>
              </w:rPr>
              <w:t>后</w:t>
            </w:r>
            <w:r>
              <w:rPr>
                <w:rFonts w:hint="default"/>
                <w:sz w:val="24"/>
                <w:lang w:val="en-US" w:eastAsia="zh-CN"/>
              </w:rPr>
              <w:t>镇痛和尿毒症瘙痒两个适应症</w:t>
            </w:r>
            <w:r>
              <w:rPr>
                <w:rFonts w:hint="eastAsia"/>
                <w:sz w:val="24"/>
                <w:lang w:val="en-US" w:eastAsia="zh-CN"/>
              </w:rPr>
              <w:t>，手术后镇痛适应症II期临床试验已圆满达成预期目标，III期临床试验正按既定计划有序推进。STC007注射液治疗</w:t>
            </w:r>
            <w:r>
              <w:rPr>
                <w:rFonts w:hint="default"/>
                <w:sz w:val="24"/>
                <w:lang w:val="en-US" w:eastAsia="zh-CN"/>
              </w:rPr>
              <w:t>尿毒症瘙痒</w:t>
            </w:r>
            <w:r>
              <w:rPr>
                <w:rFonts w:hint="eastAsia"/>
                <w:sz w:val="24"/>
                <w:lang w:val="en-US" w:eastAsia="zh-CN"/>
              </w:rPr>
              <w:t>适应症也</w:t>
            </w:r>
            <w:r>
              <w:rPr>
                <w:rFonts w:hint="default"/>
                <w:sz w:val="24"/>
                <w:lang w:val="en-US" w:eastAsia="zh-CN"/>
              </w:rPr>
              <w:t>已进入二期临床试验阶段，</w:t>
            </w:r>
            <w:r>
              <w:rPr>
                <w:rFonts w:hint="eastAsia"/>
                <w:sz w:val="24"/>
                <w:lang w:val="en-US" w:eastAsia="zh-CN"/>
              </w:rPr>
              <w:t>同时</w:t>
            </w:r>
            <w:r>
              <w:rPr>
                <w:rFonts w:hint="default"/>
                <w:sz w:val="24"/>
                <w:lang w:val="en-US" w:eastAsia="zh-CN"/>
              </w:rPr>
              <w:t>STC008注射液已进入一期临床试验阶段，其主要适应症为治疗晚期实体瘤相关的肿瘤恶液质，其他管线在临床前研究不同阶段，进展顺利。</w:t>
            </w:r>
          </w:p>
          <w:p w14:paraId="5CC9A466">
            <w:pPr>
              <w:numPr>
                <w:ilvl w:val="255"/>
                <w:numId w:val="0"/>
              </w:numPr>
              <w:spacing w:before="156" w:beforeLines="50" w:line="360" w:lineRule="auto"/>
              <w:ind w:firstLine="482" w:firstLineChars="200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iCs/>
                <w:sz w:val="24"/>
                <w:szCs w:val="24"/>
              </w:rPr>
              <w:t>二、问答环节</w:t>
            </w:r>
          </w:p>
          <w:p w14:paraId="3321A73D">
            <w:pPr>
              <w:numPr>
                <w:ilvl w:val="0"/>
                <w:numId w:val="1"/>
              </w:numPr>
              <w:spacing w:before="156" w:beforeLines="50" w:line="360" w:lineRule="auto"/>
              <w:ind w:left="425" w:leftChars="0" w:firstLine="1" w:firstLineChars="0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iCs/>
                <w:sz w:val="24"/>
                <w:szCs w:val="24"/>
                <w:lang w:val="en-US" w:eastAsia="zh-CN"/>
              </w:rPr>
              <w:t>公司投资元码智药是如何考虑？</w:t>
            </w:r>
          </w:p>
          <w:p w14:paraId="097D7910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本次投资核心围绕战略布局、技术协同与产业潜力三大核心目标，具体如下：</w:t>
            </w:r>
          </w:p>
          <w:p w14:paraId="6DE8008D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契合前沿赛道战略布局：体内CAR-T与核酸药物是全球生物医药领域的黄金赛道，2025年以来阿斯利康、艾伯维、BMS等跨国药企累计投入超40亿美元并购布局，行业爆发式增长态势明确。公司通过增资元码智药，快速切入这一高壁垒前沿领域，完善在细胞治疗与核酸药物板块的战略布局，抢占技术制高点。</w:t>
            </w:r>
          </w:p>
          <w:p w14:paraId="2641526B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技术与产业链互补协同：元码智药在环状mRNA体内CAR-T领域具备全球领先的技术实力，依托三大核心平台（byterna.AI智能设计平台、cmCAR高效表达平台、CellectLNP靶向递送平台），元码智药在无痕高效环化、AI序列设计、环状mRNA化学修饰、体内T细胞靶向递送、和环状mRNA CAR设计与评价等高壁垒环节实现技术突破，有望成为全球首个进入临床的修饰环状mRNA体内CAR-T疗法。公司依托全周期研发服务经验、产业化能力及产业链资源，可与元码智药形成技术互补，加速多靶点合作管线的临床转化与全球化推进。</w:t>
            </w:r>
          </w:p>
          <w:p w14:paraId="2C9225E9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布局高潜力成长标的：元码智药由资深产业界专家与海归博士团队创立，团队具备完整的研发与临床转化能力，且已完成多条体内CAR-T管线的早期研发，核心管线通过非临床关键概念验证，研发进度行业领先。其差异化管线布局覆盖血液瘤、自身免疫疾病、实体瘤等多领域，契合未被满足的临床需求，具备广阔的商业化潜力。</w:t>
            </w:r>
          </w:p>
          <w:p w14:paraId="1630CA43">
            <w:pPr>
              <w:numPr>
                <w:ilvl w:val="0"/>
                <w:numId w:val="1"/>
              </w:numPr>
              <w:spacing w:before="156" w:beforeLines="50" w:line="360" w:lineRule="auto"/>
              <w:ind w:left="425" w:leftChars="0" w:firstLine="1" w:firstLineChars="0"/>
              <w:rPr>
                <w:rFonts w:hint="eastAsia"/>
                <w:b/>
                <w:sz w:val="24"/>
                <w:highlight w:val="none"/>
              </w:rPr>
            </w:pPr>
            <w:r>
              <w:rPr>
                <w:rFonts w:hint="default"/>
                <w:b/>
                <w:sz w:val="24"/>
                <w:highlight w:val="none"/>
                <w:lang w:val="en-US" w:eastAsia="zh-CN"/>
              </w:rPr>
              <w:t>如何规划管线潜力品种的未来销售预期？</w:t>
            </w:r>
          </w:p>
          <w:p w14:paraId="20218B19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公司在研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创新药管线梯队中，目前进展最快的是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“STC007注射液”针对腹部手术后中、重度疼痛的II期临床试验已圆满达成预期目标，III期临床试验正按既定计划有序推进，该突破有望为术后疼痛患者带来全新的治疗方案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该适应症公司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已经与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乐旷惠霖达成合作协议，合同里程碑付款累计总金额为2亿元（含税）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合作方在精麻药品的销售专业性较强，核心销售团队有多年阿片类大单品的销售经验，基于合作方具有丰富的销售经验，我们看好未来STC007上市后的商业化开发；</w:t>
            </w:r>
          </w:p>
          <w:p w14:paraId="01CD6357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“STC007注射液”针对成人慢性肾脏疾病相关的中至重度瘙痒的II期临床试验正在进行中，目前入组顺利，研究进展态势良好，未来有望为慢性肾脏疾病患者的症状改善提供重要助力。</w:t>
            </w:r>
          </w:p>
          <w:p w14:paraId="25D5C9DE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此外，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公司在多肽领域另一款产品“STC008注射液”也正在开展I期临床试验研究。该药物的主要适应症为治疗晚期实体瘤的肿瘤恶液质，肿瘤恶液质恶病（体）质（cancerca-chexia）是各种晚期恶性肿瘤的常见并发症，进展期恶性肿瘤约60%～80%可出现恶液质，约20%肿瘤患者死于恶液质。据vantage预测2023年全球肿瘤恶病质潜在市场规模达26亿美元，至2032年将达40亿美元，CAGR为5%。目前FDA尚未批准任何药物用于肿瘤恶液质的治疗，该靶点国内癌症恶病质治疗领域尚为空白，此项目顺利推进有望实现国内该领域零的突破。与国外唯一上市药物阿拉莫林（目前未在中国上市）相比，STC008注射液对CYP酶无抑制和诱导作用，与抗肿瘤药物联用时，安全性大大增加，且生物利用度明显优于对照药物，市场潜力巨大。</w:t>
            </w:r>
          </w:p>
          <w:p w14:paraId="77C15178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default"/>
                <w:b w:val="0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另外用于肿瘤诊断和肿瘤治疗的靶向肽、适应症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为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IBD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（炎症性肠病）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的多肽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产品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适应症为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减脂增肌的小核酸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项目以及公司在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car-t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方面布局的用于治疗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自免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和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淋巴瘤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等在研产品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都是</w:t>
            </w: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公司</w:t>
            </w:r>
            <w:r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非常看好、有望成为爆品的管线。</w:t>
            </w:r>
          </w:p>
          <w:p w14:paraId="4326E310">
            <w:pPr>
              <w:numPr>
                <w:ilvl w:val="0"/>
                <w:numId w:val="1"/>
              </w:numPr>
              <w:spacing w:before="156" w:beforeLines="50" w:line="360" w:lineRule="auto"/>
              <w:ind w:left="425" w:leftChars="0" w:firstLine="1" w:firstLineChars="0"/>
              <w:rPr>
                <w:rFonts w:hint="eastAsia"/>
                <w:b/>
                <w:sz w:val="24"/>
                <w:highlight w:val="none"/>
              </w:rPr>
            </w:pPr>
            <w:r>
              <w:rPr>
                <w:rFonts w:hint="default"/>
                <w:b/>
                <w:sz w:val="24"/>
                <w:highlight w:val="none"/>
                <w:lang w:val="en-US" w:eastAsia="zh-CN"/>
              </w:rPr>
              <w:t>请帮忙梳理更新下公司目前的创新药布局和创新平台布局。</w:t>
            </w:r>
          </w:p>
          <w:p w14:paraId="4FFBF952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公司创新药布局采用“一个中心、三大平台”的核心架构，体系化推进前沿领域研发。“一个中心”为创新药办公室，现有核心成员20余人，汇聚高校科学家顾问、临床前药理药效专家、审评审批专家、临床方案设计顾问等复合型人才，主要承担创新药整体布局规划、立项决策及全流程统筹管理职能。下设三大专业化研发平台，均配备资深专业带头人牵头攻关，分别为多肽药物研发平台、小核酸药物研发平台及细胞疗法研发平台。目前，公司已围绕镇痛、自身免疫性疾病、肿瘤辅助治疗、肿瘤诊断与治疗、减重、慢性疾病等多个高需求适应症领域，布局20余条创新药管线，形成覆盖多赛道、梯度化推进的研发格局。</w:t>
            </w:r>
          </w:p>
          <w:p w14:paraId="7AD03804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公司在多肽以及多肽偶联药物具有多年开发经验，已建立iCVETide®多肽新药发现技术平台，专注于类肽创新药的深入挖掘。在多肽偶联药物方面，公司掌握多肽偶联PDC药物的关键技术，结合人工智能技术，通过与华为云的合作，开发基于盘古大模型的AI多肽分子发现平台，整合iCVETide®在分子发现与优化方面的能力，建立基于庞大多肽类肽数据库的亲和力模型、条件生成模型、力场模型等。公司目前进展最快的管线STC007、STC008都是该平台孵化出来的，此外还有多条在研管线，包括治疗继发性甲旁亢的009、治疗炎症性肠病的011以及用于肿瘤诊断和治疗的多个靶向肽管线，预计也会有陆续取得关键性进展。</w:t>
            </w:r>
          </w:p>
          <w:p w14:paraId="11A2631B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在小核酸药物开发领域，公司建立小核酸药物载药系统开发平台。该平台专注于小核酸药物的递送系统研究，致力于解决小核酸药物在体内稳定性、靶向性及生物利用度等方面的挑战。通过创新的载药系统设计，公司能够有效提高小核酸药物的递送效率和治疗效果，为小核酸药物的临床应用奠定了坚实基础。公司开发的方向有siRNA、AOC、APDC，目前有多条管线推进中，根据研发进度会陆续推进IND，适应症为高血压、减脂增肌、阿尔兹海默症、高血糖、年老性黄斑变性等。</w:t>
            </w:r>
          </w:p>
          <w:p w14:paraId="33769A1B">
            <w:pPr>
              <w:keepNext w:val="0"/>
              <w:keepLines w:val="0"/>
              <w:pageBreakBefore w:val="0"/>
              <w:widowControl w:val="0"/>
              <w:numPr>
                <w:ilvl w:val="255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在细胞疗法研发领域，公司与艺妙神州合作研发的ZM001注射液（自体）和IC19（通用型）两款产品，ZM001是一种利用慢病毒载体将靶向CD19的CAR分子整合至T细胞的自体CAR-T细胞治疗产品，其特点是通过特异清除SLE患者体内的B细胞，进而缓解患者红斑狼疮症状，并维持长期疗效，是一种潜在的中度和重度SLE治疗药物。在临床研究中，ZM001展现出快速清除B细胞且持续性的疗效，以及极低的严重不良反应发生率，是一款安全有效的CAR-T治疗药物，该产品正处于I期临床试验阶段。此外，公司布局了in vivo car-t平台，涉及自身免疫系统疾病、淋巴瘤等适应症，研发技术和进度全球靠前。</w:t>
            </w:r>
          </w:p>
          <w:p w14:paraId="1DE512AB">
            <w:pPr>
              <w:numPr>
                <w:ilvl w:val="0"/>
                <w:numId w:val="1"/>
              </w:numPr>
              <w:spacing w:before="156" w:beforeLines="50" w:line="360" w:lineRule="auto"/>
              <w:ind w:left="425" w:leftChars="0" w:firstLine="1" w:firstLineChars="0"/>
              <w:rPr>
                <w:rFonts w:hint="default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default"/>
                <w:b/>
                <w:sz w:val="24"/>
                <w:highlight w:val="none"/>
                <w:lang w:val="en-US" w:eastAsia="zh-CN"/>
              </w:rPr>
              <w:t>临床业务</w:t>
            </w:r>
            <w:r>
              <w:rPr>
                <w:rFonts w:hint="eastAsia"/>
                <w:b/>
                <w:sz w:val="24"/>
                <w:highlight w:val="none"/>
                <w:lang w:val="en-US" w:eastAsia="zh-CN"/>
              </w:rPr>
              <w:t>发展情况？</w:t>
            </w:r>
            <w:r>
              <w:rPr>
                <w:rFonts w:hint="default"/>
                <w:b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highlight w:val="none"/>
                <w:lang w:val="en-US" w:eastAsia="zh-CN"/>
              </w:rPr>
              <w:t>展望国内临床业务未来的竞争格局</w:t>
            </w:r>
          </w:p>
          <w:p w14:paraId="618FFF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360" w:lineRule="auto"/>
              <w:ind w:firstLine="480" w:firstLineChars="200"/>
              <w:textAlignment w:val="auto"/>
              <w:rPr>
                <w:rFonts w:hint="default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iCs/>
                <w:sz w:val="24"/>
                <w:szCs w:val="24"/>
                <w:lang w:val="en-US" w:eastAsia="zh-CN"/>
              </w:rPr>
              <w:t>公司临床服务项目整体有序推进，目前，核心传统药企客户的在手订单及执行项目均按既定计划推进，与前期预期保持一致。在临床业务方面，公司主要专注于我们的优势领域，包括内分泌、减重、呼吸、部分肿瘤适应症、心内科、镇痛等多个适应症领域。在这些领域中，我们已经开展了大量的临床项目合作，积累了丰富的临床研究方案设计经验。公司客户大部分是传统中大型医药企业，每年有稳定的现金流和产品管线布局的需求，通过前期合作基础公司已经树立了良好的口碑和信誉，客户粘性好。临床阶段作为药物研发的关键环节，具有周期长、投入大、风险高的行业特性，因此客户在筛选供应商时，更侧重于考量服务质量的稳定性、团队专业能力与履约保障能力，而非单纯以价格为核心决策依据。</w:t>
            </w:r>
          </w:p>
        </w:tc>
      </w:tr>
      <w:tr w14:paraId="4A63D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2093" w:type="dxa"/>
            <w:vAlign w:val="center"/>
          </w:tcPr>
          <w:p w14:paraId="49E359F1">
            <w:pPr>
              <w:spacing w:line="360" w:lineRule="auto"/>
              <w:jc w:val="left"/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附件清单（如有）</w:t>
            </w:r>
          </w:p>
        </w:tc>
        <w:tc>
          <w:tcPr>
            <w:tcW w:w="6203" w:type="dxa"/>
          </w:tcPr>
          <w:p w14:paraId="41A52917"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无</w:t>
            </w:r>
          </w:p>
        </w:tc>
      </w:tr>
      <w:tr w14:paraId="5D6C7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 w14:paraId="717A6FD2">
            <w:pPr>
              <w:spacing w:line="360" w:lineRule="auto"/>
              <w:jc w:val="left"/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6203" w:type="dxa"/>
          </w:tcPr>
          <w:p w14:paraId="1087953D">
            <w:pPr>
              <w:spacing w:line="360" w:lineRule="auto"/>
              <w:rPr>
                <w:rFonts w:hint="eastAsia" w:ascii="宋体" w:hAnsi="宋体"/>
                <w:bCs/>
                <w:iCs/>
                <w:sz w:val="24"/>
                <w:szCs w:val="24"/>
              </w:rPr>
            </w:pPr>
            <w:r>
              <w:rPr>
                <w:rFonts w:hint="default" w:ascii="Times New Roman" w:hAnsi="Times New Roman"/>
                <w:bCs/>
                <w:iCs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2</w:t>
            </w:r>
            <w:r>
              <w:rPr>
                <w:rFonts w:hint="eastAsia"/>
                <w:bCs/>
                <w:iCs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/>
                <w:bCs/>
                <w:iCs/>
                <w:sz w:val="24"/>
                <w:szCs w:val="24"/>
              </w:rPr>
              <w:t>年</w:t>
            </w:r>
            <w:r>
              <w:rPr>
                <w:rFonts w:hint="eastAsia"/>
                <w:bCs/>
                <w:iCs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/>
                <w:bCs/>
                <w:iCs/>
                <w:sz w:val="24"/>
                <w:szCs w:val="24"/>
              </w:rPr>
              <w:t>月</w:t>
            </w:r>
            <w:r>
              <w:rPr>
                <w:rFonts w:hint="eastAsia"/>
                <w:bCs/>
                <w:iCs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/>
                <w:bCs/>
                <w:iCs/>
                <w:sz w:val="24"/>
                <w:szCs w:val="24"/>
              </w:rPr>
              <w:t>日</w:t>
            </w:r>
          </w:p>
        </w:tc>
      </w:tr>
    </w:tbl>
    <w:p w14:paraId="3B62B9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D3353"/>
    <w:multiLevelType w:val="singleLevel"/>
    <w:tmpl w:val="FFFD335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firstLine="1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245BEB"/>
    <w:rsid w:val="098E2ADD"/>
    <w:rsid w:val="13132E6E"/>
    <w:rsid w:val="17EC3BA9"/>
    <w:rsid w:val="24FF6B67"/>
    <w:rsid w:val="3EB550E0"/>
    <w:rsid w:val="5ADF7FF3"/>
    <w:rsid w:val="5C2F0412"/>
    <w:rsid w:val="5F8E4261"/>
    <w:rsid w:val="745A752B"/>
    <w:rsid w:val="7BF5BCA2"/>
    <w:rsid w:val="7DEEB279"/>
    <w:rsid w:val="AB8F5DCA"/>
    <w:rsid w:val="CB6796A3"/>
    <w:rsid w:val="DFEDA011"/>
    <w:rsid w:val="F6FF6463"/>
    <w:rsid w:val="FDBD0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annotation subject"/>
    <w:basedOn w:val="2"/>
    <w:next w:val="2"/>
    <w:link w:val="10"/>
    <w:qFormat/>
    <w:uiPriority w:val="0"/>
    <w:rPr>
      <w:b/>
      <w:bCs/>
    </w:rPr>
  </w:style>
  <w:style w:type="character" w:styleId="7">
    <w:name w:val="annotation reference"/>
    <w:basedOn w:val="6"/>
    <w:qFormat/>
    <w:uiPriority w:val="0"/>
    <w:rPr>
      <w:sz w:val="21"/>
      <w:szCs w:val="21"/>
    </w:rPr>
  </w:style>
  <w:style w:type="paragraph" w:customStyle="1" w:styleId="8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9">
    <w:name w:val="批注文字 字符"/>
    <w:basedOn w:val="6"/>
    <w:link w:val="2"/>
    <w:qFormat/>
    <w:uiPriority w:val="0"/>
    <w:rPr>
      <w:kern w:val="2"/>
      <w:sz w:val="21"/>
    </w:rPr>
  </w:style>
  <w:style w:type="character" w:customStyle="1" w:styleId="10">
    <w:name w:val="批注主题 字符"/>
    <w:basedOn w:val="9"/>
    <w:link w:val="4"/>
    <w:qFormat/>
    <w:uiPriority w:val="0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3593</Words>
  <Characters>3881</Characters>
  <Lines>18</Lines>
  <Paragraphs>5</Paragraphs>
  <TotalTime>19</TotalTime>
  <ScaleCrop>false</ScaleCrop>
  <LinksUpToDate>false</LinksUpToDate>
  <CharactersWithSpaces>3949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2024-09-30T06:32:00Z</dcterms:created>
  <dc:creator>杨贵娇</dc:creator>
  <cp:lastModifiedBy>杨贵娇</cp:lastModifiedBy>
  <dcterms:modified xsi:type="dcterms:W3CDTF">2025-10-31T08:59:20Z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19BA809CA64B667F8242C168258CEC2C_43</vt:lpwstr>
  </property>
  <property fmtid="{D5CDD505-2E9C-101B-9397-08002B2CF9AE}" pid="4" name="KSOTemplateDocerSaveRecord">
    <vt:lpwstr>eyJoZGlkIjoiZTM2MTRlOTE5NzU3Y2FhZmJjMTA4ODAwNjMyZWVhZDciLCJ1c2VySWQiOiIzOTQyNDEyNzQifQ==</vt:lpwstr>
  </property>
</Properties>
</file>