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B615E" w14:textId="77777777" w:rsidR="00275FEE" w:rsidRDefault="00275FEE">
      <w:pPr>
        <w:pStyle w:val="a5"/>
        <w:spacing w:before="1"/>
        <w:ind w:rightChars="100" w:right="220"/>
        <w:jc w:val="center"/>
        <w:rPr>
          <w:rFonts w:ascii="Times New Roman" w:hint="eastAsia"/>
          <w:b w:val="0"/>
          <w:sz w:val="10"/>
        </w:rPr>
      </w:pPr>
    </w:p>
    <w:p w14:paraId="581326EB" w14:textId="77777777" w:rsidR="00275FEE" w:rsidRDefault="00000000">
      <w:pPr>
        <w:pStyle w:val="a5"/>
        <w:spacing w:before="61"/>
        <w:ind w:rightChars="100" w:right="220"/>
        <w:jc w:val="center"/>
        <w:rPr>
          <w:rFonts w:hint="eastAsia"/>
        </w:rPr>
      </w:pPr>
      <w:r>
        <w:rPr>
          <w:rFonts w:hint="eastAsia"/>
          <w:lang w:val="en-US"/>
        </w:rPr>
        <w:t>中饮巴比食品</w:t>
      </w:r>
      <w:r>
        <w:t>股份有限公司投资者关系活动记录表</w:t>
      </w:r>
    </w:p>
    <w:p w14:paraId="71C8E20E" w14:textId="77777777" w:rsidR="00275FEE" w:rsidRDefault="00275FEE">
      <w:pPr>
        <w:rPr>
          <w:rFonts w:hint="eastAsia"/>
        </w:rPr>
      </w:pPr>
    </w:p>
    <w:p w14:paraId="42952760" w14:textId="77777777" w:rsidR="00275FEE" w:rsidRDefault="00000000">
      <w:pPr>
        <w:spacing w:before="155" w:after="21"/>
        <w:ind w:right="510"/>
        <w:jc w:val="right"/>
        <w:rPr>
          <w:rFonts w:hint="eastAsia"/>
          <w:sz w:val="21"/>
          <w:lang w:val="en-US"/>
        </w:rPr>
      </w:pPr>
      <w:r>
        <w:rPr>
          <w:rFonts w:hint="eastAsia"/>
          <w:sz w:val="21"/>
        </w:rPr>
        <w:t>编号：2</w:t>
      </w:r>
      <w:r>
        <w:rPr>
          <w:sz w:val="21"/>
        </w:rPr>
        <w:t>02</w:t>
      </w:r>
      <w:r>
        <w:rPr>
          <w:rFonts w:hint="eastAsia"/>
          <w:sz w:val="21"/>
          <w:lang w:val="en-US"/>
        </w:rPr>
        <w:t>5</w:t>
      </w:r>
      <w:r>
        <w:rPr>
          <w:sz w:val="21"/>
        </w:rPr>
        <w:t>-</w:t>
      </w:r>
      <w:r>
        <w:rPr>
          <w:rFonts w:hint="eastAsia"/>
          <w:sz w:val="21"/>
          <w:lang w:val="en-US"/>
        </w:rPr>
        <w:t>1006</w:t>
      </w:r>
    </w:p>
    <w:tbl>
      <w:tblPr>
        <w:tblStyle w:val="ae"/>
        <w:tblW w:w="0" w:type="auto"/>
        <w:tblInd w:w="-5" w:type="dxa"/>
        <w:tblLook w:val="04A0" w:firstRow="1" w:lastRow="0" w:firstColumn="1" w:lastColumn="0" w:noHBand="0" w:noVBand="1"/>
      </w:tblPr>
      <w:tblGrid>
        <w:gridCol w:w="1418"/>
        <w:gridCol w:w="6887"/>
      </w:tblGrid>
      <w:tr w:rsidR="00275FEE" w14:paraId="1E7EEE0B" w14:textId="77777777">
        <w:tc>
          <w:tcPr>
            <w:tcW w:w="1418" w:type="dxa"/>
            <w:vAlign w:val="center"/>
          </w:tcPr>
          <w:p w14:paraId="6F14641D" w14:textId="77777777" w:rsidR="00275FEE" w:rsidRDefault="00000000">
            <w:pPr>
              <w:spacing w:line="360" w:lineRule="exact"/>
              <w:jc w:val="center"/>
              <w:rPr>
                <w:rFonts w:hint="eastAsia"/>
              </w:rPr>
            </w:pPr>
            <w:r>
              <w:rPr>
                <w:b/>
                <w:sz w:val="21"/>
                <w:szCs w:val="21"/>
              </w:rPr>
              <w:t>投资者关系活动类别</w:t>
            </w:r>
          </w:p>
        </w:tc>
        <w:tc>
          <w:tcPr>
            <w:tcW w:w="6887" w:type="dxa"/>
            <w:vAlign w:val="center"/>
          </w:tcPr>
          <w:p w14:paraId="7C51AF5B" w14:textId="77777777" w:rsidR="00275FEE" w:rsidRDefault="00000000">
            <w:pPr>
              <w:pStyle w:val="TableParagraph"/>
              <w:spacing w:before="0" w:line="360" w:lineRule="exact"/>
              <w:ind w:left="107"/>
              <w:rPr>
                <w:rFonts w:hint="eastAsia"/>
              </w:rPr>
            </w:pPr>
            <w:r>
              <w:sym w:font="Wingdings 2" w:char="0052"/>
            </w:r>
            <w:r>
              <w:t xml:space="preserve">特定对象调研  □分析师会议  □媒体采访     </w:t>
            </w:r>
          </w:p>
          <w:p w14:paraId="64C13BF4" w14:textId="77777777" w:rsidR="00275FEE" w:rsidRDefault="00000000">
            <w:pPr>
              <w:pStyle w:val="TableParagraph"/>
              <w:spacing w:before="0" w:line="360" w:lineRule="exact"/>
              <w:ind w:left="107"/>
              <w:rPr>
                <w:rFonts w:hint="eastAsia"/>
                <w:spacing w:val="-1"/>
              </w:rPr>
            </w:pPr>
            <w:r>
              <w:rPr>
                <w:rFonts w:hint="eastAsia"/>
                <w:spacing w:val="-1"/>
              </w:rPr>
              <w:t>□</w:t>
            </w:r>
            <w:r>
              <w:rPr>
                <w:spacing w:val="-1"/>
              </w:rPr>
              <w:t xml:space="preserve">业绩说明会    □新闻发布会  □路演活动 </w:t>
            </w:r>
          </w:p>
          <w:p w14:paraId="6425F042" w14:textId="77777777" w:rsidR="00275FEE" w:rsidRDefault="00000000">
            <w:pPr>
              <w:pStyle w:val="TableParagraph"/>
              <w:spacing w:before="0" w:line="360" w:lineRule="exact"/>
              <w:ind w:left="107"/>
              <w:rPr>
                <w:rFonts w:hint="eastAsia"/>
              </w:rPr>
            </w:pPr>
            <w:r>
              <w:rPr>
                <w:spacing w:val="-1"/>
              </w:rPr>
              <w:t>□</w:t>
            </w:r>
            <w:r>
              <w:t xml:space="preserve">现场参观      </w:t>
            </w:r>
            <w:r>
              <w:sym w:font="Wingdings 2" w:char="0052"/>
            </w:r>
            <w:r>
              <w:t>其他</w:t>
            </w:r>
            <w:r>
              <w:rPr>
                <w:rFonts w:hint="eastAsia"/>
                <w:lang w:val="en-US"/>
              </w:rPr>
              <w:t xml:space="preserve"> </w:t>
            </w:r>
            <w:r>
              <w:rPr>
                <w:u w:val="single"/>
              </w:rPr>
              <w:t xml:space="preserve"> </w:t>
            </w:r>
            <w:r>
              <w:rPr>
                <w:rFonts w:hint="eastAsia"/>
                <w:u w:val="single"/>
                <w:lang w:val="en-US"/>
              </w:rPr>
              <w:t xml:space="preserve"> 业绩交流会   </w:t>
            </w:r>
            <w:r>
              <w:rPr>
                <w:rFonts w:hint="eastAsia"/>
                <w:u w:val="single"/>
              </w:rPr>
              <w:t xml:space="preserve"> </w:t>
            </w:r>
            <w:r>
              <w:rPr>
                <w:u w:val="single"/>
              </w:rPr>
              <w:t xml:space="preserve"> </w:t>
            </w:r>
            <w:r>
              <w:t xml:space="preserve"> </w:t>
            </w:r>
          </w:p>
        </w:tc>
      </w:tr>
      <w:tr w:rsidR="00275FEE" w14:paraId="6626136F" w14:textId="77777777">
        <w:tc>
          <w:tcPr>
            <w:tcW w:w="1418" w:type="dxa"/>
            <w:vAlign w:val="center"/>
          </w:tcPr>
          <w:p w14:paraId="067EDC37" w14:textId="77777777" w:rsidR="00275FEE" w:rsidRDefault="00000000">
            <w:pPr>
              <w:spacing w:line="360" w:lineRule="exact"/>
              <w:jc w:val="center"/>
              <w:rPr>
                <w:rFonts w:hint="eastAsia"/>
                <w:b/>
                <w:sz w:val="21"/>
                <w:szCs w:val="21"/>
              </w:rPr>
            </w:pPr>
            <w:r>
              <w:rPr>
                <w:b/>
                <w:sz w:val="21"/>
                <w:szCs w:val="21"/>
              </w:rPr>
              <w:t>参与单位</w:t>
            </w:r>
          </w:p>
          <w:p w14:paraId="4BD2D0A5" w14:textId="77777777" w:rsidR="00275FEE" w:rsidRDefault="00000000">
            <w:pPr>
              <w:spacing w:line="360" w:lineRule="exact"/>
              <w:jc w:val="center"/>
              <w:rPr>
                <w:rFonts w:hint="eastAsia"/>
              </w:rPr>
            </w:pPr>
            <w:r>
              <w:rPr>
                <w:b/>
                <w:sz w:val="21"/>
                <w:szCs w:val="21"/>
              </w:rPr>
              <w:t>名称</w:t>
            </w:r>
          </w:p>
        </w:tc>
        <w:tc>
          <w:tcPr>
            <w:tcW w:w="6887" w:type="dxa"/>
            <w:vAlign w:val="center"/>
          </w:tcPr>
          <w:p w14:paraId="719B194A" w14:textId="77777777" w:rsidR="00275FEE" w:rsidRDefault="00000000">
            <w:pPr>
              <w:pStyle w:val="TOC2"/>
              <w:ind w:leftChars="0" w:left="0"/>
              <w:jc w:val="both"/>
              <w:rPr>
                <w:rFonts w:hint="eastAsia"/>
                <w:lang w:val="en-US"/>
              </w:rPr>
            </w:pPr>
            <w:r>
              <w:rPr>
                <w:rFonts w:hint="eastAsia"/>
                <w:lang w:val="en-US"/>
              </w:rPr>
              <w:t>爱建证券、财通证券、财信证券、东北证券、东方财富证券、东吴证券、东证融汇资产、富国基金、光大证券、广发证券、国海证券、国联民生证券、国盛证券、国泰海通证券、国泰海通资管、国泰基金、国信证券、国源信达资本、海富通基金、华安基金、华创证券、华福证券、华富基金、华泰证券、华泰证券、华夏基金、华源证券、牧毅投资管理、农银汇理基金、平安证券、人保资产、慎知资产、同德磐石资产、天风证券、彤源资本、湘财基金、信达证券、兴业证券、远东宏信资产、长江证券、招商证券、中金公司、中泰证券、中信建投、中信证券、中银国际、中邮证券等</w:t>
            </w:r>
          </w:p>
        </w:tc>
      </w:tr>
      <w:tr w:rsidR="00275FEE" w14:paraId="24F9091A" w14:textId="77777777">
        <w:trPr>
          <w:trHeight w:val="525"/>
        </w:trPr>
        <w:tc>
          <w:tcPr>
            <w:tcW w:w="1418" w:type="dxa"/>
            <w:vAlign w:val="center"/>
          </w:tcPr>
          <w:p w14:paraId="5DC4645C" w14:textId="77777777" w:rsidR="00275FEE" w:rsidRDefault="00000000">
            <w:pPr>
              <w:spacing w:line="360" w:lineRule="exact"/>
              <w:jc w:val="center"/>
              <w:rPr>
                <w:rFonts w:hint="eastAsia"/>
              </w:rPr>
            </w:pPr>
            <w:r>
              <w:rPr>
                <w:b/>
                <w:sz w:val="21"/>
                <w:szCs w:val="21"/>
              </w:rPr>
              <w:t>时间</w:t>
            </w:r>
          </w:p>
        </w:tc>
        <w:tc>
          <w:tcPr>
            <w:tcW w:w="6887" w:type="dxa"/>
            <w:vAlign w:val="center"/>
          </w:tcPr>
          <w:p w14:paraId="524B11DC" w14:textId="77777777" w:rsidR="00275FEE" w:rsidRDefault="00000000">
            <w:pPr>
              <w:spacing w:before="35"/>
              <w:rPr>
                <w:rFonts w:hint="eastAsia"/>
                <w:lang w:val="en-US"/>
              </w:rPr>
            </w:pPr>
            <w:r>
              <w:t>202</w:t>
            </w:r>
            <w:r>
              <w:rPr>
                <w:rFonts w:hint="eastAsia"/>
                <w:lang w:val="en-US"/>
              </w:rPr>
              <w:t>5</w:t>
            </w:r>
            <w:r>
              <w:t xml:space="preserve"> 年</w:t>
            </w:r>
            <w:r>
              <w:rPr>
                <w:rFonts w:hint="eastAsia"/>
              </w:rPr>
              <w:t xml:space="preserve"> </w:t>
            </w:r>
            <w:r>
              <w:rPr>
                <w:rFonts w:hint="eastAsia"/>
                <w:lang w:val="en-US"/>
              </w:rPr>
              <w:t>10</w:t>
            </w:r>
            <w:r>
              <w:t xml:space="preserve"> 月</w:t>
            </w:r>
            <w:r>
              <w:rPr>
                <w:rFonts w:hint="eastAsia"/>
              </w:rPr>
              <w:t xml:space="preserve"> </w:t>
            </w:r>
            <w:r>
              <w:rPr>
                <w:rFonts w:hint="eastAsia"/>
                <w:lang w:val="en-US"/>
              </w:rPr>
              <w:t>31</w:t>
            </w:r>
            <w:r>
              <w:t xml:space="preserve"> </w:t>
            </w:r>
            <w:r>
              <w:rPr>
                <w:rFonts w:hint="eastAsia"/>
              </w:rPr>
              <w:t xml:space="preserve">日 </w:t>
            </w:r>
            <w:r>
              <w:t>1</w:t>
            </w:r>
            <w:r>
              <w:rPr>
                <w:rFonts w:hint="eastAsia"/>
                <w:lang w:val="en-US"/>
              </w:rPr>
              <w:t>4</w:t>
            </w:r>
            <w:r>
              <w:rPr>
                <w:rFonts w:hint="eastAsia"/>
              </w:rPr>
              <w:t>:</w:t>
            </w:r>
            <w:r>
              <w:rPr>
                <w:rFonts w:hint="eastAsia"/>
                <w:lang w:val="en-US"/>
              </w:rPr>
              <w:t>45</w:t>
            </w:r>
            <w:r>
              <w:t xml:space="preserve"> – 1</w:t>
            </w:r>
            <w:r>
              <w:rPr>
                <w:rFonts w:hint="eastAsia"/>
                <w:lang w:val="en-US"/>
              </w:rPr>
              <w:t>6</w:t>
            </w:r>
            <w:r>
              <w:rPr>
                <w:rFonts w:hint="eastAsia"/>
              </w:rPr>
              <w:t>:</w:t>
            </w:r>
            <w:r>
              <w:rPr>
                <w:rFonts w:hint="eastAsia"/>
                <w:lang w:val="en-US"/>
              </w:rPr>
              <w:t>00</w:t>
            </w:r>
          </w:p>
        </w:tc>
      </w:tr>
      <w:tr w:rsidR="00275FEE" w14:paraId="7BEEC963" w14:textId="77777777">
        <w:trPr>
          <w:trHeight w:val="547"/>
        </w:trPr>
        <w:tc>
          <w:tcPr>
            <w:tcW w:w="1418" w:type="dxa"/>
            <w:vAlign w:val="center"/>
          </w:tcPr>
          <w:p w14:paraId="00DEFEAB" w14:textId="77777777" w:rsidR="00275FEE" w:rsidRDefault="00000000">
            <w:pPr>
              <w:spacing w:line="360" w:lineRule="exact"/>
              <w:jc w:val="center"/>
              <w:rPr>
                <w:rFonts w:hint="eastAsia"/>
              </w:rPr>
            </w:pPr>
            <w:r>
              <w:rPr>
                <w:b/>
                <w:sz w:val="21"/>
                <w:szCs w:val="21"/>
              </w:rPr>
              <w:t>地点</w:t>
            </w:r>
          </w:p>
        </w:tc>
        <w:tc>
          <w:tcPr>
            <w:tcW w:w="6887" w:type="dxa"/>
            <w:vAlign w:val="center"/>
          </w:tcPr>
          <w:p w14:paraId="05DC9FE5" w14:textId="77777777" w:rsidR="00275FEE" w:rsidRDefault="00000000">
            <w:pPr>
              <w:spacing w:before="35"/>
              <w:rPr>
                <w:rFonts w:hint="eastAsia"/>
                <w:lang w:val="en-US"/>
              </w:rPr>
            </w:pPr>
            <w:r>
              <w:rPr>
                <w:rFonts w:hint="eastAsia"/>
                <w:lang w:val="en-US"/>
              </w:rPr>
              <w:t>中饮巴比食品股份有限公司 会议室</w:t>
            </w:r>
          </w:p>
        </w:tc>
      </w:tr>
      <w:tr w:rsidR="00275FEE" w14:paraId="6BD1A41B" w14:textId="77777777">
        <w:tc>
          <w:tcPr>
            <w:tcW w:w="1418" w:type="dxa"/>
            <w:vAlign w:val="center"/>
          </w:tcPr>
          <w:p w14:paraId="12B0E551" w14:textId="77777777" w:rsidR="00275FEE" w:rsidRDefault="00000000">
            <w:pPr>
              <w:spacing w:line="360" w:lineRule="exact"/>
              <w:jc w:val="center"/>
              <w:rPr>
                <w:rFonts w:hint="eastAsia"/>
              </w:rPr>
            </w:pPr>
            <w:r>
              <w:rPr>
                <w:b/>
                <w:sz w:val="21"/>
                <w:szCs w:val="21"/>
              </w:rPr>
              <w:t>上市公司</w:t>
            </w:r>
            <w:r>
              <w:rPr>
                <w:rFonts w:hint="eastAsia"/>
                <w:b/>
                <w:sz w:val="21"/>
                <w:szCs w:val="21"/>
                <w:lang w:val="en-US"/>
              </w:rPr>
              <w:t>出席</w:t>
            </w:r>
            <w:r>
              <w:rPr>
                <w:b/>
                <w:sz w:val="21"/>
                <w:szCs w:val="21"/>
              </w:rPr>
              <w:t>人员</w:t>
            </w:r>
          </w:p>
        </w:tc>
        <w:tc>
          <w:tcPr>
            <w:tcW w:w="6887" w:type="dxa"/>
            <w:vAlign w:val="center"/>
          </w:tcPr>
          <w:p w14:paraId="275A22E1" w14:textId="77777777" w:rsidR="00275FEE" w:rsidRDefault="00000000">
            <w:pPr>
              <w:spacing w:before="35"/>
              <w:rPr>
                <w:rFonts w:hint="eastAsia"/>
                <w:lang w:val="en-US"/>
              </w:rPr>
            </w:pPr>
            <w:r>
              <w:rPr>
                <w:rFonts w:hint="eastAsia"/>
                <w:lang w:val="en-US"/>
              </w:rPr>
              <w:t>副总裁：叶青</w:t>
            </w:r>
          </w:p>
          <w:p w14:paraId="47F8CC08" w14:textId="77777777" w:rsidR="00275FEE" w:rsidRDefault="00000000">
            <w:pPr>
              <w:spacing w:before="35"/>
              <w:rPr>
                <w:rFonts w:hint="eastAsia"/>
                <w:lang w:val="en-US"/>
              </w:rPr>
            </w:pPr>
            <w:r>
              <w:rPr>
                <w:rFonts w:hint="eastAsia"/>
                <w:lang w:val="en-US"/>
              </w:rPr>
              <w:t>董事会秘书、财务总监：苏爽</w:t>
            </w:r>
          </w:p>
          <w:p w14:paraId="2EB834E3" w14:textId="77777777" w:rsidR="00275FEE" w:rsidRDefault="00000000">
            <w:pPr>
              <w:spacing w:before="35"/>
              <w:rPr>
                <w:rFonts w:hint="eastAsia"/>
                <w:lang w:val="en-US"/>
              </w:rPr>
            </w:pPr>
            <w:r>
              <w:rPr>
                <w:rFonts w:hint="eastAsia"/>
                <w:lang w:val="en-US"/>
              </w:rPr>
              <w:t>证券事务代表：马晓琳</w:t>
            </w:r>
          </w:p>
        </w:tc>
      </w:tr>
      <w:tr w:rsidR="00275FEE" w14:paraId="57BE5860" w14:textId="77777777">
        <w:tc>
          <w:tcPr>
            <w:tcW w:w="1418" w:type="dxa"/>
            <w:vAlign w:val="center"/>
          </w:tcPr>
          <w:p w14:paraId="64919020" w14:textId="77777777" w:rsidR="00275FEE" w:rsidRDefault="00000000">
            <w:pPr>
              <w:spacing w:before="35"/>
              <w:jc w:val="center"/>
              <w:rPr>
                <w:rFonts w:hint="eastAsia"/>
                <w:b/>
                <w:sz w:val="21"/>
                <w:szCs w:val="21"/>
              </w:rPr>
            </w:pPr>
            <w:r>
              <w:rPr>
                <w:rFonts w:hint="eastAsia"/>
                <w:b/>
                <w:sz w:val="21"/>
                <w:szCs w:val="21"/>
                <w:lang w:val="en-US"/>
              </w:rPr>
              <w:t>投资者关系活动</w:t>
            </w:r>
            <w:r>
              <w:rPr>
                <w:b/>
                <w:sz w:val="21"/>
                <w:szCs w:val="21"/>
              </w:rPr>
              <w:t>主要内容介绍</w:t>
            </w:r>
          </w:p>
        </w:tc>
        <w:tc>
          <w:tcPr>
            <w:tcW w:w="6887" w:type="dxa"/>
          </w:tcPr>
          <w:p w14:paraId="3F530041" w14:textId="77777777" w:rsidR="00275FEE" w:rsidRDefault="00000000">
            <w:pPr>
              <w:pStyle w:val="TOC2"/>
              <w:ind w:leftChars="0" w:left="0"/>
              <w:jc w:val="both"/>
              <w:rPr>
                <w:rFonts w:hint="eastAsia"/>
                <w:b/>
                <w:bCs/>
              </w:rPr>
            </w:pPr>
            <w:r>
              <w:rPr>
                <w:rFonts w:hint="eastAsia"/>
                <w:b/>
                <w:bCs/>
                <w:lang w:val="en-US"/>
              </w:rPr>
              <w:t>一</w:t>
            </w:r>
            <w:r>
              <w:rPr>
                <w:rFonts w:hint="eastAsia"/>
                <w:b/>
                <w:bCs/>
              </w:rPr>
              <w:t>、2025年第</w:t>
            </w:r>
            <w:r>
              <w:rPr>
                <w:rFonts w:hint="eastAsia"/>
                <w:b/>
                <w:bCs/>
                <w:lang w:val="en-US"/>
              </w:rPr>
              <w:t>三</w:t>
            </w:r>
            <w:r>
              <w:rPr>
                <w:rFonts w:hint="eastAsia"/>
                <w:b/>
                <w:bCs/>
              </w:rPr>
              <w:t>季度在经营业绩及成果</w:t>
            </w:r>
            <w:r>
              <w:rPr>
                <w:rFonts w:hint="eastAsia"/>
                <w:b/>
                <w:bCs/>
                <w:lang w:val="en-US"/>
              </w:rPr>
              <w:t>介绍</w:t>
            </w:r>
            <w:r>
              <w:rPr>
                <w:rFonts w:hint="eastAsia"/>
                <w:b/>
                <w:bCs/>
              </w:rPr>
              <w:t>：</w:t>
            </w:r>
          </w:p>
          <w:p w14:paraId="6E3D9547" w14:textId="77777777" w:rsidR="00275FEE" w:rsidRDefault="00000000">
            <w:pPr>
              <w:pStyle w:val="TOC2"/>
              <w:ind w:leftChars="0" w:left="0" w:firstLineChars="200" w:firstLine="440"/>
              <w:jc w:val="both"/>
              <w:rPr>
                <w:rFonts w:hint="eastAsia"/>
              </w:rPr>
            </w:pPr>
            <w:r>
              <w:rPr>
                <w:rFonts w:hint="eastAsia"/>
              </w:rPr>
              <w:t>1、2025年第三季度在经营业绩及成果方面：</w:t>
            </w:r>
          </w:p>
          <w:p w14:paraId="4B94B290" w14:textId="77777777" w:rsidR="00275FEE" w:rsidRDefault="00000000">
            <w:pPr>
              <w:pStyle w:val="TOC2"/>
              <w:ind w:leftChars="0" w:left="0" w:firstLineChars="200" w:firstLine="440"/>
              <w:jc w:val="both"/>
              <w:rPr>
                <w:rFonts w:hint="eastAsia"/>
              </w:rPr>
            </w:pPr>
            <w:r>
              <w:rPr>
                <w:rFonts w:hint="eastAsia"/>
              </w:rPr>
              <w:t>2025年第三季度，公司实现营业收入5.22亿元，同比增长16.74%；扣非净利润7</w:t>
            </w:r>
            <w:r>
              <w:rPr>
                <w:rFonts w:hint="eastAsia"/>
                <w:lang w:val="en-US"/>
              </w:rPr>
              <w:t>,</w:t>
            </w:r>
            <w:r>
              <w:rPr>
                <w:rFonts w:hint="eastAsia"/>
              </w:rPr>
              <w:t>390.39万元，同比增长25.53%。累计前三季度实现营业收入13.56亿元，同比增长12.05%；实现扣非净利润1.75亿元，同比增长19.40%。公司第三季度收入利润</w:t>
            </w:r>
            <w:r>
              <w:rPr>
                <w:rFonts w:hint="eastAsia"/>
                <w:lang w:val="en-US"/>
              </w:rPr>
              <w:t>同</w:t>
            </w:r>
            <w:r>
              <w:rPr>
                <w:rFonts w:hint="eastAsia"/>
              </w:rPr>
              <w:t>比增速继续提升，整体累计前三季度依然保持了比较好的增长态势，实现了营收净利的双位数增长。</w:t>
            </w:r>
          </w:p>
          <w:p w14:paraId="22931C33" w14:textId="77777777" w:rsidR="00275FEE" w:rsidRDefault="00000000">
            <w:pPr>
              <w:pStyle w:val="TOC2"/>
              <w:ind w:leftChars="0" w:left="0" w:firstLineChars="200" w:firstLine="440"/>
              <w:jc w:val="both"/>
              <w:rPr>
                <w:rFonts w:hint="eastAsia"/>
              </w:rPr>
            </w:pPr>
            <w:r>
              <w:rPr>
                <w:rFonts w:hint="eastAsia"/>
              </w:rPr>
              <w:t>从各项财务指标来看，公司毛利率继续环比改善达29.6%，扣非净利润率达14.17%，同比增长了0.99%，整体经营质量持续提升。</w:t>
            </w:r>
          </w:p>
          <w:p w14:paraId="00AD9ADC" w14:textId="77777777" w:rsidR="00275FEE" w:rsidRDefault="00000000">
            <w:pPr>
              <w:pStyle w:val="TOC2"/>
              <w:ind w:leftChars="0" w:left="0" w:firstLineChars="200" w:firstLine="440"/>
              <w:jc w:val="both"/>
              <w:rPr>
                <w:rFonts w:hint="eastAsia"/>
              </w:rPr>
            </w:pPr>
            <w:r>
              <w:rPr>
                <w:rFonts w:hint="eastAsia"/>
              </w:rPr>
              <w:t>2、在2025年第三季度，公司业务呈现以下特点：</w:t>
            </w:r>
          </w:p>
          <w:p w14:paraId="1F1AA498" w14:textId="77777777" w:rsidR="00275FEE" w:rsidRDefault="00000000">
            <w:pPr>
              <w:pStyle w:val="TOC2"/>
              <w:ind w:leftChars="0" w:left="0" w:firstLineChars="200" w:firstLine="440"/>
              <w:jc w:val="both"/>
              <w:rPr>
                <w:rFonts w:hint="eastAsia"/>
              </w:rPr>
            </w:pPr>
            <w:r>
              <w:rPr>
                <w:rFonts w:hint="eastAsia"/>
              </w:rPr>
              <w:t>门店业务方面，公司累计前三季度实现特许加盟销售收入10.14亿元，同比增长11.00%，其中第三季度收入4.01亿元，同比增长17.7%。</w:t>
            </w:r>
          </w:p>
          <w:p w14:paraId="5C291750" w14:textId="77777777" w:rsidR="00275FEE" w:rsidRDefault="00000000">
            <w:pPr>
              <w:pStyle w:val="TOC2"/>
              <w:ind w:leftChars="0" w:left="0" w:firstLineChars="200" w:firstLine="440"/>
              <w:jc w:val="both"/>
              <w:rPr>
                <w:rFonts w:hint="eastAsia"/>
              </w:rPr>
            </w:pPr>
            <w:r>
              <w:rPr>
                <w:rFonts w:hint="eastAsia"/>
              </w:rPr>
              <w:t>在业务运营方面，我们继续围绕“提效拓量”的年度目标，积极统筹开展各项工作。主要与大家分享以下几点：</w:t>
            </w:r>
          </w:p>
          <w:p w14:paraId="2F7030F7" w14:textId="77777777" w:rsidR="00275FEE" w:rsidRDefault="00000000">
            <w:pPr>
              <w:pStyle w:val="TOC2"/>
              <w:ind w:leftChars="0" w:left="0" w:firstLineChars="200" w:firstLine="440"/>
              <w:jc w:val="both"/>
              <w:rPr>
                <w:rFonts w:hint="eastAsia"/>
              </w:rPr>
            </w:pPr>
            <w:r>
              <w:rPr>
                <w:rFonts w:hint="eastAsia"/>
              </w:rPr>
              <w:t>第一，加盟门店数量持续增长且符合预期：报告期内公司新增门店数量1568家，剔除合并其他品牌后新开巴比门店730家，较去年同期增加37家，开店节奏基本符合年初制定的开店目标。</w:t>
            </w:r>
          </w:p>
          <w:p w14:paraId="7E134E3E" w14:textId="77777777" w:rsidR="00275FEE" w:rsidRDefault="00000000">
            <w:pPr>
              <w:pStyle w:val="TOC2"/>
              <w:ind w:leftChars="0" w:left="0" w:firstLineChars="200" w:firstLine="440"/>
              <w:jc w:val="both"/>
              <w:rPr>
                <w:rFonts w:hint="eastAsia"/>
              </w:rPr>
            </w:pPr>
            <w:r>
              <w:rPr>
                <w:rFonts w:hint="eastAsia"/>
              </w:rPr>
              <w:t>第二，单店回正趋势向上,同店经营逐步改善：公司第三季度仍持续推进各项经营优化举措，包括门店改造升级、外卖运营赋能、培训扶持、强化营销等，多点发力单店模型改善，各项举措成效逐步得到释放和体现，单店收入回升的向好态势持续巩固。</w:t>
            </w:r>
          </w:p>
          <w:p w14:paraId="45AD8A8C" w14:textId="77777777" w:rsidR="00275FEE" w:rsidRDefault="00000000">
            <w:pPr>
              <w:pStyle w:val="TOC2"/>
              <w:ind w:leftChars="0" w:left="0" w:firstLineChars="200" w:firstLine="440"/>
              <w:jc w:val="both"/>
              <w:rPr>
                <w:rFonts w:hint="eastAsia"/>
              </w:rPr>
            </w:pPr>
            <w:r>
              <w:rPr>
                <w:rFonts w:hint="eastAsia"/>
              </w:rPr>
              <w:t>第三，单店改造不断突破，小笼包堂食店型成为增长新支点：报</w:t>
            </w:r>
            <w:r>
              <w:rPr>
                <w:rFonts w:hint="eastAsia"/>
              </w:rPr>
              <w:lastRenderedPageBreak/>
              <w:t>告期内公司全力推进小笼包堂食新模式门店落地，目前已在上海、江苏、浙江区域打造了7家标杆爆店，并计划以 “以点带面”策略，加速新模式门店扩张。</w:t>
            </w:r>
          </w:p>
          <w:p w14:paraId="2DA8F799" w14:textId="77777777" w:rsidR="00275FEE" w:rsidRDefault="00000000">
            <w:pPr>
              <w:pStyle w:val="TOC2"/>
              <w:ind w:leftChars="0" w:left="0" w:firstLineChars="200" w:firstLine="440"/>
              <w:jc w:val="both"/>
              <w:rPr>
                <w:rFonts w:hint="eastAsia"/>
              </w:rPr>
            </w:pPr>
            <w:r>
              <w:rPr>
                <w:rFonts w:hint="eastAsia"/>
              </w:rPr>
              <w:t>在团餐业务方面，公司累计前三季度实现大客户及零售渠道销售收入3.07亿元，同比增长16%，其中第三季度实现收入1.08亿元，同比增长11.</w:t>
            </w:r>
            <w:r>
              <w:rPr>
                <w:rFonts w:hint="eastAsia"/>
                <w:lang w:val="en-US"/>
              </w:rPr>
              <w:t>6</w:t>
            </w:r>
            <w:r>
              <w:rPr>
                <w:rFonts w:hint="eastAsia"/>
              </w:rPr>
              <w:t>%。公司将持续聚焦产品体系优化与分渠道布局深耕，相信随着下游客户需求的稳步提升以及公司对各客户渠道的精准发力，团餐业务仍将取得一个较好的发展。</w:t>
            </w:r>
          </w:p>
          <w:p w14:paraId="462F8126" w14:textId="77777777" w:rsidR="00275FEE" w:rsidRDefault="00000000">
            <w:pPr>
              <w:pStyle w:val="TOC2"/>
              <w:ind w:leftChars="0" w:left="0" w:firstLineChars="200" w:firstLine="440"/>
              <w:jc w:val="both"/>
              <w:rPr>
                <w:rFonts w:hint="eastAsia"/>
              </w:rPr>
            </w:pPr>
            <w:r>
              <w:rPr>
                <w:rFonts w:hint="eastAsia"/>
              </w:rPr>
              <w:t>在成本费用端，原材料价格整体处于低位，且随着公司收入规模的提高，公司第三季度毛利率同比提升2.81个百分点。同时，公司运营效率继续提升，二季度期间费用率小幅下降，扣非净利润率达14.17%，经营效益结果符合管理层预期。</w:t>
            </w:r>
          </w:p>
          <w:p w14:paraId="277A5D1B" w14:textId="77777777" w:rsidR="00275FEE" w:rsidRDefault="00275FEE">
            <w:pPr>
              <w:jc w:val="both"/>
              <w:rPr>
                <w:rFonts w:hint="eastAsia"/>
              </w:rPr>
            </w:pPr>
          </w:p>
          <w:p w14:paraId="1C52A788" w14:textId="77777777" w:rsidR="00275FEE" w:rsidRDefault="00000000">
            <w:pPr>
              <w:pStyle w:val="TOC2"/>
              <w:ind w:leftChars="0" w:left="0"/>
              <w:jc w:val="both"/>
              <w:rPr>
                <w:rFonts w:hint="eastAsia"/>
                <w:b/>
              </w:rPr>
            </w:pPr>
            <w:r>
              <w:rPr>
                <w:rFonts w:hint="eastAsia"/>
                <w:b/>
              </w:rPr>
              <w:t>二、互动交流环节</w:t>
            </w:r>
          </w:p>
          <w:p w14:paraId="29F1D444" w14:textId="77777777" w:rsidR="00275FEE" w:rsidRDefault="00000000">
            <w:pPr>
              <w:pStyle w:val="TOC2"/>
              <w:ind w:leftChars="0" w:left="0"/>
              <w:jc w:val="both"/>
              <w:rPr>
                <w:rFonts w:hint="eastAsia"/>
                <w:b/>
                <w:bCs/>
                <w:lang w:val="en-US"/>
              </w:rPr>
            </w:pPr>
            <w:r>
              <w:rPr>
                <w:rFonts w:hint="eastAsia"/>
                <w:b/>
                <w:bCs/>
                <w:lang w:val="en-US"/>
              </w:rPr>
              <w:t>1</w:t>
            </w:r>
            <w:r>
              <w:rPr>
                <w:rFonts w:hint="eastAsia"/>
                <w:b/>
                <w:bCs/>
              </w:rPr>
              <w:t>、</w:t>
            </w:r>
            <w:r>
              <w:rPr>
                <w:rFonts w:hint="eastAsia"/>
                <w:b/>
                <w:bCs/>
                <w:lang w:val="en-US"/>
              </w:rPr>
              <w:t>在单店增长方面，公司在本季度主要做了哪些调改举措？</w:t>
            </w:r>
          </w:p>
          <w:p w14:paraId="3D68EF99" w14:textId="77777777" w:rsidR="00275FEE" w:rsidRDefault="00000000">
            <w:pPr>
              <w:pStyle w:val="TOC2"/>
              <w:ind w:leftChars="0" w:left="0"/>
              <w:jc w:val="both"/>
              <w:rPr>
                <w:rFonts w:hint="eastAsia"/>
                <w:lang w:val="en-US"/>
              </w:rPr>
            </w:pPr>
            <w:r>
              <w:rPr>
                <w:rFonts w:hint="eastAsia"/>
                <w:b/>
                <w:bCs/>
              </w:rPr>
              <w:t>回复：</w:t>
            </w:r>
            <w:r>
              <w:rPr>
                <w:rFonts w:hint="eastAsia"/>
                <w:lang w:val="en-US"/>
              </w:rPr>
              <w:t>在大环境严峻的背景下，公司主要做了以下举措：第一，公司成立了精益化团队，负责店铺模型的改造，围绕手工小笼包新店铺模型，进行线上线下融合的营销模式来打造爆店，通过爆店的赚钱效应来打通复制扩张的路径；其次，7-8月的外卖大战对公司业绩产生了积极影响。得益于外部环境和专业的外卖运营团队，公司外卖统管率得到了显著提升。</w:t>
            </w:r>
          </w:p>
          <w:p w14:paraId="7DBC9193" w14:textId="77777777" w:rsidR="00275FEE" w:rsidRDefault="00275FEE">
            <w:pPr>
              <w:jc w:val="both"/>
              <w:rPr>
                <w:rFonts w:hint="eastAsia"/>
                <w:lang w:val="en-US"/>
              </w:rPr>
            </w:pPr>
          </w:p>
          <w:p w14:paraId="4629C22B" w14:textId="77777777" w:rsidR="00275FEE" w:rsidRDefault="00000000">
            <w:pPr>
              <w:pStyle w:val="TOC2"/>
              <w:ind w:leftChars="0" w:left="0"/>
              <w:jc w:val="both"/>
              <w:rPr>
                <w:rFonts w:hint="eastAsia"/>
                <w:b/>
                <w:bCs/>
                <w:lang w:val="en-US"/>
              </w:rPr>
            </w:pPr>
            <w:r>
              <w:rPr>
                <w:rFonts w:hint="eastAsia"/>
                <w:b/>
                <w:bCs/>
                <w:lang w:val="en-US"/>
              </w:rPr>
              <w:t>2</w:t>
            </w:r>
            <w:r>
              <w:rPr>
                <w:rFonts w:hint="eastAsia"/>
                <w:b/>
                <w:bCs/>
              </w:rPr>
              <w:t>、</w:t>
            </w:r>
            <w:r>
              <w:rPr>
                <w:rFonts w:hint="eastAsia"/>
                <w:b/>
                <w:bCs/>
                <w:lang w:val="en-US"/>
              </w:rPr>
              <w:t>老面小笼包品类的特殊性是什么？为什么能利用这个品类来打造爆店？</w:t>
            </w:r>
          </w:p>
          <w:p w14:paraId="4B0AB892" w14:textId="77777777" w:rsidR="00275FEE" w:rsidRDefault="00000000">
            <w:pPr>
              <w:pStyle w:val="TOC2"/>
              <w:ind w:leftChars="0" w:left="0"/>
              <w:jc w:val="both"/>
              <w:rPr>
                <w:rFonts w:hint="eastAsia"/>
                <w:lang w:val="en-US"/>
              </w:rPr>
            </w:pPr>
            <w:r>
              <w:rPr>
                <w:rFonts w:hint="eastAsia"/>
                <w:b/>
                <w:bCs/>
              </w:rPr>
              <w:t>回复：</w:t>
            </w:r>
            <w:r>
              <w:rPr>
                <w:rFonts w:hint="eastAsia"/>
                <w:lang w:val="en-US"/>
              </w:rPr>
              <w:t>从口味上看，老面小笼包面皮筋道，拥有自然酸甜口味，相较于普通包子以品尝馅料为主，老面小笼包更侧重于品尝面皮；从店铺经营上看，老面小笼包是公司延长经营时间，打通中晚餐的堂食店的核心产品，因为老面小笼包和公司原有经营品类包点十分契合，且在多数消费者的消费习惯中，小笼包相较于大包子更适合在中晚餐作为一类主食。</w:t>
            </w:r>
          </w:p>
          <w:p w14:paraId="7557A7C8" w14:textId="77777777" w:rsidR="00275FEE" w:rsidRDefault="00275FEE">
            <w:pPr>
              <w:pStyle w:val="TOC2"/>
              <w:ind w:leftChars="0" w:left="0"/>
              <w:jc w:val="both"/>
              <w:rPr>
                <w:rFonts w:hint="eastAsia"/>
                <w:lang w:val="en-US"/>
              </w:rPr>
            </w:pPr>
          </w:p>
          <w:p w14:paraId="3ECC8F54" w14:textId="77777777" w:rsidR="00275FEE" w:rsidRDefault="00000000">
            <w:pPr>
              <w:pStyle w:val="TOC2"/>
              <w:ind w:leftChars="0" w:left="0"/>
              <w:jc w:val="both"/>
              <w:rPr>
                <w:rFonts w:hint="eastAsia"/>
                <w:b/>
                <w:bCs/>
                <w:lang w:val="en-US"/>
              </w:rPr>
            </w:pPr>
            <w:r>
              <w:rPr>
                <w:rFonts w:hint="eastAsia"/>
                <w:b/>
                <w:bCs/>
                <w:lang w:val="en-US"/>
              </w:rPr>
              <w:t>3</w:t>
            </w:r>
            <w:r>
              <w:rPr>
                <w:rFonts w:hint="eastAsia"/>
                <w:b/>
                <w:bCs/>
              </w:rPr>
              <w:t>、</w:t>
            </w:r>
            <w:r>
              <w:rPr>
                <w:rFonts w:hint="eastAsia"/>
                <w:b/>
                <w:bCs/>
                <w:lang w:val="en-US"/>
              </w:rPr>
              <w:t>手工小笼包店的未来开店规划如何？</w:t>
            </w:r>
          </w:p>
          <w:p w14:paraId="48A3641B" w14:textId="77777777" w:rsidR="00275FEE" w:rsidRDefault="00000000">
            <w:pPr>
              <w:pStyle w:val="TOC2"/>
              <w:ind w:leftChars="0" w:left="0"/>
              <w:jc w:val="both"/>
              <w:rPr>
                <w:rFonts w:hint="eastAsia"/>
                <w:lang w:val="en-US"/>
              </w:rPr>
            </w:pPr>
            <w:r>
              <w:rPr>
                <w:rFonts w:hint="eastAsia"/>
                <w:b/>
                <w:bCs/>
              </w:rPr>
              <w:t>回复：</w:t>
            </w:r>
            <w:r>
              <w:rPr>
                <w:rFonts w:hint="eastAsia"/>
                <w:lang w:val="en-US"/>
              </w:rPr>
              <w:t>未来手工小笼包店型的开拓和复制主要有三条路径，第一，利用现有的门店进行改造；第二，在市场环境低迷的时候在更好的点位进行开店；第三，借助已有外带店，通过增加手工小笼包的产品来打造纯外带店的手工小笼包店型。</w:t>
            </w:r>
          </w:p>
          <w:p w14:paraId="3F442A70" w14:textId="77777777" w:rsidR="00275FEE" w:rsidRDefault="00000000">
            <w:pPr>
              <w:ind w:firstLineChars="200" w:firstLine="440"/>
              <w:jc w:val="both"/>
              <w:rPr>
                <w:rFonts w:hint="eastAsia"/>
                <w:lang w:val="en-US"/>
              </w:rPr>
            </w:pPr>
            <w:r>
              <w:rPr>
                <w:rFonts w:hint="eastAsia"/>
                <w:lang w:val="en-US"/>
              </w:rPr>
              <w:t>具体来说，公司预期在今年年底前开设20家新店型，并希望明年通过以点带面、顺势而为的方式进行门店的逐步扩张。</w:t>
            </w:r>
          </w:p>
          <w:p w14:paraId="351CE13B" w14:textId="77777777" w:rsidR="00275FEE" w:rsidRDefault="00275FEE">
            <w:pPr>
              <w:jc w:val="both"/>
              <w:rPr>
                <w:rFonts w:hint="eastAsia"/>
                <w:lang w:val="en-US"/>
              </w:rPr>
            </w:pPr>
          </w:p>
          <w:p w14:paraId="2FF96668" w14:textId="77777777" w:rsidR="00275FEE" w:rsidRDefault="00000000">
            <w:pPr>
              <w:pStyle w:val="TOC2"/>
              <w:ind w:leftChars="0" w:left="0"/>
              <w:jc w:val="both"/>
              <w:rPr>
                <w:rFonts w:hint="eastAsia"/>
                <w:b/>
                <w:bCs/>
                <w:lang w:val="en-US"/>
              </w:rPr>
            </w:pPr>
            <w:r>
              <w:rPr>
                <w:rFonts w:hint="eastAsia"/>
                <w:b/>
                <w:bCs/>
                <w:lang w:val="en-US"/>
              </w:rPr>
              <w:t>4</w:t>
            </w:r>
            <w:r>
              <w:rPr>
                <w:rFonts w:hint="eastAsia"/>
                <w:b/>
                <w:bCs/>
              </w:rPr>
              <w:t>、</w:t>
            </w:r>
            <w:r>
              <w:rPr>
                <w:rFonts w:hint="eastAsia"/>
                <w:b/>
                <w:bCs/>
                <w:lang w:val="en-US"/>
              </w:rPr>
              <w:t>支撑公司规模化复制手工小笼包店型的核心能力是什么？请从加盟商、公司内部运营的角度介绍一下？</w:t>
            </w:r>
          </w:p>
          <w:p w14:paraId="0DDA72AF" w14:textId="773DBAB6" w:rsidR="00275FEE" w:rsidRDefault="00000000">
            <w:pPr>
              <w:pStyle w:val="TOC2"/>
              <w:ind w:leftChars="0" w:left="0"/>
              <w:jc w:val="both"/>
              <w:rPr>
                <w:rFonts w:hint="eastAsia"/>
                <w:lang w:val="en-US"/>
              </w:rPr>
            </w:pPr>
            <w:r>
              <w:rPr>
                <w:rFonts w:hint="eastAsia"/>
                <w:b/>
                <w:bCs/>
              </w:rPr>
              <w:t>回复：</w:t>
            </w:r>
            <w:r>
              <w:rPr>
                <w:rFonts w:hint="eastAsia"/>
                <w:lang w:val="en-US"/>
              </w:rPr>
              <w:t>从加盟商来看，由于行业特性，包点加盟商受制于心态或能力，更多倾向于一个加盟商只开1-2家店铺为主，对于增加运营成本持保守态度，因此公司在选择手工小笼包店型加盟商的过程中会侧重于选择对新店型接受度高、配合度高的加盟商，他们需要能积极进行门店运营的投入和扩张，以实现更高的营业额目标。并且前期公司通过借助这类型加盟商打造爆店，利用赚钱效应吸引更多的加盟商，公司再从中进行挑选，进行店铺模型的扩张。此外，从加盟商来源上</w:t>
            </w:r>
            <w:r>
              <w:rPr>
                <w:rFonts w:hint="eastAsia"/>
                <w:lang w:val="en-US"/>
              </w:rPr>
              <w:lastRenderedPageBreak/>
              <w:t>说，全国包点店铺数量超1</w:t>
            </w:r>
            <w:r w:rsidR="00B2718D">
              <w:rPr>
                <w:rFonts w:hint="eastAsia"/>
                <w:lang w:val="en-US"/>
              </w:rPr>
              <w:t>5</w:t>
            </w:r>
            <w:r>
              <w:rPr>
                <w:rFonts w:hint="eastAsia"/>
                <w:lang w:val="en-US"/>
              </w:rPr>
              <w:t>万家，所以加盟商资源丰富，因此后续借助翻牌或拓展有望持续支撑新店型的开拓。</w:t>
            </w:r>
          </w:p>
          <w:p w14:paraId="106E6152" w14:textId="27B79CBE" w:rsidR="00275FEE" w:rsidRDefault="00000000">
            <w:pPr>
              <w:ind w:firstLineChars="200" w:firstLine="440"/>
              <w:jc w:val="both"/>
              <w:rPr>
                <w:rFonts w:hint="eastAsia"/>
                <w:lang w:val="en-US"/>
              </w:rPr>
            </w:pPr>
            <w:r>
              <w:rPr>
                <w:rFonts w:hint="eastAsia"/>
                <w:lang w:val="en-US"/>
              </w:rPr>
              <w:t>从公司内部运营来看，前期利用四到五年的时间不断尝试和积累，以及三个月的时间进行具体构思和准备新店型，并通过内部精益化团队不断的对各业务运营人员进行全面的培训和指导，主要包括前期调研</w:t>
            </w:r>
            <w:r w:rsidR="00B2718D">
              <w:rPr>
                <w:rFonts w:hint="eastAsia"/>
                <w:lang w:val="en-US"/>
              </w:rPr>
              <w:t>、</w:t>
            </w:r>
            <w:r>
              <w:rPr>
                <w:rFonts w:hint="eastAsia"/>
                <w:lang w:val="en-US"/>
              </w:rPr>
              <w:t>产品结构确认</w:t>
            </w:r>
            <w:r w:rsidR="00B2718D">
              <w:rPr>
                <w:rFonts w:hint="eastAsia"/>
                <w:lang w:val="en-US"/>
              </w:rPr>
              <w:t>、</w:t>
            </w:r>
            <w:r>
              <w:rPr>
                <w:rFonts w:hint="eastAsia"/>
                <w:lang w:val="en-US"/>
              </w:rPr>
              <w:t>动线设备</w:t>
            </w:r>
            <w:r w:rsidR="00B2718D">
              <w:rPr>
                <w:rFonts w:hint="eastAsia"/>
                <w:lang w:val="en-US"/>
              </w:rPr>
              <w:t>、</w:t>
            </w:r>
            <w:r>
              <w:rPr>
                <w:rFonts w:hint="eastAsia"/>
                <w:lang w:val="en-US"/>
              </w:rPr>
              <w:t>空间模型</w:t>
            </w:r>
            <w:r w:rsidR="00B2718D">
              <w:rPr>
                <w:rFonts w:hint="eastAsia"/>
                <w:lang w:val="en-US"/>
              </w:rPr>
              <w:t>、</w:t>
            </w:r>
            <w:r>
              <w:rPr>
                <w:rFonts w:hint="eastAsia"/>
                <w:lang w:val="en-US"/>
              </w:rPr>
              <w:t>开业宣传广告等。通过不断的打磨经营细节，助力新店型成功落地。从管理能力上说，公司并不会为了达到某个门店扩张数字目标去盲目复制，主要会根据管理能力的动态变化去及时的进行门店的开拓。</w:t>
            </w:r>
          </w:p>
          <w:p w14:paraId="75982DAD" w14:textId="77777777" w:rsidR="00275FEE" w:rsidRDefault="00275FEE">
            <w:pPr>
              <w:pStyle w:val="TOC2"/>
              <w:ind w:leftChars="0" w:left="0"/>
              <w:jc w:val="both"/>
              <w:rPr>
                <w:rFonts w:hint="eastAsia"/>
                <w:lang w:val="en-US"/>
              </w:rPr>
            </w:pPr>
          </w:p>
          <w:p w14:paraId="6A1D2A19" w14:textId="77777777" w:rsidR="00275FEE" w:rsidRDefault="00000000">
            <w:pPr>
              <w:pStyle w:val="TOC2"/>
              <w:ind w:leftChars="0" w:left="0"/>
              <w:jc w:val="both"/>
              <w:rPr>
                <w:rFonts w:hint="eastAsia"/>
                <w:b/>
                <w:bCs/>
                <w:lang w:val="en-US"/>
              </w:rPr>
            </w:pPr>
            <w:r>
              <w:rPr>
                <w:rFonts w:hint="eastAsia"/>
                <w:b/>
                <w:bCs/>
                <w:lang w:val="en-US"/>
              </w:rPr>
              <w:t>5</w:t>
            </w:r>
            <w:r>
              <w:rPr>
                <w:rFonts w:hint="eastAsia"/>
                <w:b/>
                <w:bCs/>
              </w:rPr>
              <w:t>、</w:t>
            </w:r>
            <w:r>
              <w:rPr>
                <w:rFonts w:hint="eastAsia"/>
                <w:b/>
                <w:bCs/>
                <w:lang w:val="en-US"/>
              </w:rPr>
              <w:t>如何理解行业的高闭店率？以及如何展望公司未来的闭店率？</w:t>
            </w:r>
          </w:p>
          <w:p w14:paraId="7BE502C8" w14:textId="77777777" w:rsidR="00275FEE" w:rsidRDefault="00000000">
            <w:pPr>
              <w:jc w:val="both"/>
              <w:rPr>
                <w:rFonts w:hint="eastAsia"/>
                <w:lang w:val="en-US"/>
              </w:rPr>
            </w:pPr>
            <w:r>
              <w:rPr>
                <w:rFonts w:hint="eastAsia"/>
                <w:b/>
                <w:bCs/>
              </w:rPr>
              <w:t>回复：</w:t>
            </w:r>
            <w:r>
              <w:rPr>
                <w:rFonts w:hint="eastAsia"/>
                <w:lang w:val="en-US"/>
              </w:rPr>
              <w:t>从行业来看，行业竞争较同质化，很多店虽然存活但经营效益很一般，但如果市场中能出现差异化，且赚钱效应较好的新店铺模型，则能够较有效的吸引部分加盟商来主动加入，因此展望未来，公司的闭店情况能得到一定好转。</w:t>
            </w:r>
          </w:p>
          <w:p w14:paraId="1BA89C9B" w14:textId="77777777" w:rsidR="00275FEE" w:rsidRDefault="00275FEE">
            <w:pPr>
              <w:pStyle w:val="TOC2"/>
              <w:ind w:left="440"/>
              <w:jc w:val="both"/>
              <w:rPr>
                <w:rFonts w:hint="eastAsia"/>
                <w:lang w:val="en-US"/>
              </w:rPr>
            </w:pPr>
          </w:p>
          <w:p w14:paraId="2E8CBA28" w14:textId="77777777" w:rsidR="00275FEE" w:rsidRDefault="00000000">
            <w:pPr>
              <w:pStyle w:val="TOC2"/>
              <w:ind w:leftChars="0" w:left="0"/>
              <w:jc w:val="both"/>
              <w:rPr>
                <w:rFonts w:hint="eastAsia"/>
                <w:b/>
                <w:bCs/>
                <w:lang w:val="en-US"/>
              </w:rPr>
            </w:pPr>
            <w:r>
              <w:rPr>
                <w:rFonts w:hint="eastAsia"/>
                <w:b/>
                <w:bCs/>
                <w:lang w:val="en-US"/>
              </w:rPr>
              <w:t>6</w:t>
            </w:r>
            <w:r>
              <w:rPr>
                <w:rFonts w:hint="eastAsia"/>
                <w:b/>
                <w:bCs/>
              </w:rPr>
              <w:t>、</w:t>
            </w:r>
            <w:r>
              <w:rPr>
                <w:rFonts w:hint="eastAsia"/>
                <w:b/>
                <w:bCs/>
                <w:lang w:val="en-US"/>
              </w:rPr>
              <w:t>为什么新店型能在今年成功打造，而不是其他时间点？以及在内团队培养上，有什么内生机制支持公司持续的人才培育？</w:t>
            </w:r>
          </w:p>
          <w:p w14:paraId="67CE4DD2" w14:textId="77777777" w:rsidR="00275FEE" w:rsidRDefault="00000000">
            <w:pPr>
              <w:jc w:val="both"/>
              <w:rPr>
                <w:rFonts w:hint="eastAsia"/>
                <w:lang w:val="en-US"/>
              </w:rPr>
            </w:pPr>
            <w:r>
              <w:rPr>
                <w:rFonts w:hint="eastAsia"/>
                <w:b/>
                <w:bCs/>
              </w:rPr>
              <w:t>回复：</w:t>
            </w:r>
            <w:r>
              <w:rPr>
                <w:rFonts w:hint="eastAsia"/>
                <w:lang w:val="en-US"/>
              </w:rPr>
              <w:t>新店型能在今年成功打造的背后是顺应了消费行为的变化。从上海地区来看，目前上海老龄化特征较为明显，生活节奏较以往变慢，在饮食上更加追求烟火气，且市场上缺少10-15元价格带的品质较优的小吃点心店，因此公司观察到消费者和市场的变化，借助街边社区店的优势点位、质价比的特征和鲜食好吃战略带来的烟火气等属性，综合打造出了手工小笼包店型的爆店。</w:t>
            </w:r>
          </w:p>
          <w:p w14:paraId="708C6174" w14:textId="77777777" w:rsidR="00275FEE" w:rsidRDefault="00000000">
            <w:pPr>
              <w:pStyle w:val="TOC2"/>
              <w:ind w:leftChars="0" w:left="0" w:firstLineChars="200" w:firstLine="440"/>
              <w:jc w:val="both"/>
              <w:rPr>
                <w:rFonts w:hint="eastAsia"/>
                <w:lang w:val="en-US"/>
              </w:rPr>
            </w:pPr>
            <w:r>
              <w:rPr>
                <w:rFonts w:hint="eastAsia"/>
                <w:lang w:val="en-US"/>
              </w:rPr>
              <w:t>从团队培育上，公司认为最好的方式是通过教授方法论，并在实际操作中去训练和培养，因此后续随着门店在不同区域进行扩张，店铺运营的团队会逐渐壮大，能力也会逐步提升。</w:t>
            </w:r>
          </w:p>
          <w:p w14:paraId="54839C1F" w14:textId="77777777" w:rsidR="00275FEE" w:rsidRDefault="00275FEE">
            <w:pPr>
              <w:jc w:val="both"/>
              <w:rPr>
                <w:rFonts w:hint="eastAsia"/>
                <w:lang w:val="en-US"/>
              </w:rPr>
            </w:pPr>
          </w:p>
          <w:p w14:paraId="58092A33" w14:textId="77777777" w:rsidR="00275FEE" w:rsidRDefault="00000000">
            <w:pPr>
              <w:pStyle w:val="TOC2"/>
              <w:ind w:leftChars="0" w:left="0"/>
              <w:jc w:val="both"/>
              <w:rPr>
                <w:rFonts w:hint="eastAsia"/>
                <w:b/>
                <w:bCs/>
                <w:lang w:val="en-US"/>
              </w:rPr>
            </w:pPr>
            <w:r>
              <w:rPr>
                <w:rFonts w:hint="eastAsia"/>
                <w:b/>
                <w:bCs/>
                <w:lang w:val="en-US"/>
              </w:rPr>
              <w:t>7</w:t>
            </w:r>
            <w:r>
              <w:rPr>
                <w:rFonts w:hint="eastAsia"/>
                <w:b/>
                <w:bCs/>
              </w:rPr>
              <w:t>、</w:t>
            </w:r>
            <w:r>
              <w:rPr>
                <w:rFonts w:hint="eastAsia"/>
                <w:b/>
                <w:bCs/>
                <w:lang w:val="en-US"/>
              </w:rPr>
              <w:t>手工小笼包店型对非华东地区是否有同步开拓的计划？以及是否能够适配非华东地区？</w:t>
            </w:r>
          </w:p>
          <w:p w14:paraId="72A4D7AB" w14:textId="77777777" w:rsidR="00275FEE" w:rsidRDefault="00000000">
            <w:pPr>
              <w:jc w:val="both"/>
              <w:rPr>
                <w:rFonts w:hint="eastAsia"/>
                <w:lang w:val="en-US"/>
              </w:rPr>
            </w:pPr>
            <w:r>
              <w:rPr>
                <w:rFonts w:hint="eastAsia"/>
                <w:b/>
                <w:bCs/>
              </w:rPr>
              <w:t>回复：</w:t>
            </w:r>
            <w:r>
              <w:rPr>
                <w:rFonts w:hint="eastAsia"/>
                <w:lang w:val="en-US"/>
              </w:rPr>
              <w:t>目前打造的店铺模型能够在全国进行打通。全国扩张的难点主要在口味的本土化，因此在非华东地区的扩张中，公司会侧重于将口味本土化，以及通过调整产品SKU去符合当地消费者对于早餐店的统一印象，进而更好的融入当地市场。</w:t>
            </w:r>
          </w:p>
          <w:p w14:paraId="38F29F9A" w14:textId="77777777" w:rsidR="00275FEE" w:rsidRDefault="00275FEE">
            <w:pPr>
              <w:pStyle w:val="TOC2"/>
              <w:ind w:leftChars="0" w:left="0"/>
              <w:jc w:val="both"/>
              <w:rPr>
                <w:rFonts w:hint="eastAsia"/>
                <w:lang w:val="en-US"/>
              </w:rPr>
            </w:pPr>
          </w:p>
          <w:p w14:paraId="4EE1A0C0" w14:textId="77777777" w:rsidR="00275FEE" w:rsidRDefault="00000000">
            <w:pPr>
              <w:pStyle w:val="TOC2"/>
              <w:ind w:leftChars="0" w:left="0"/>
              <w:jc w:val="both"/>
              <w:rPr>
                <w:rFonts w:hint="eastAsia"/>
                <w:b/>
                <w:bCs/>
                <w:lang w:val="en-US"/>
              </w:rPr>
            </w:pPr>
            <w:r>
              <w:rPr>
                <w:rFonts w:hint="eastAsia"/>
                <w:b/>
                <w:bCs/>
                <w:lang w:val="en-US"/>
              </w:rPr>
              <w:t>8</w:t>
            </w:r>
            <w:r>
              <w:rPr>
                <w:rFonts w:hint="eastAsia"/>
                <w:b/>
                <w:bCs/>
              </w:rPr>
              <w:t>、</w:t>
            </w:r>
            <w:r>
              <w:rPr>
                <w:rFonts w:hint="eastAsia"/>
                <w:b/>
                <w:bCs/>
                <w:lang w:val="en-US"/>
              </w:rPr>
              <w:t>手工小笼包店型的毛利率、人工成本率如何？</w:t>
            </w:r>
          </w:p>
          <w:p w14:paraId="40E0BC5E" w14:textId="77777777" w:rsidR="00275FEE" w:rsidRDefault="00000000">
            <w:pPr>
              <w:jc w:val="both"/>
              <w:rPr>
                <w:rFonts w:hint="eastAsia"/>
                <w:lang w:val="en-US"/>
              </w:rPr>
            </w:pPr>
            <w:r>
              <w:rPr>
                <w:rFonts w:hint="eastAsia"/>
                <w:b/>
                <w:bCs/>
              </w:rPr>
              <w:t>回复：</w:t>
            </w:r>
            <w:r>
              <w:rPr>
                <w:rFonts w:hint="eastAsia"/>
                <w:lang w:val="en-US"/>
              </w:rPr>
              <w:t>手工小笼包店型毛利率约为60%，人工成本率在15%左右。</w:t>
            </w:r>
          </w:p>
          <w:p w14:paraId="08A73B18" w14:textId="77777777" w:rsidR="00275FEE" w:rsidRDefault="00275FEE">
            <w:pPr>
              <w:rPr>
                <w:rFonts w:hint="eastAsia"/>
                <w:lang w:val="en-US"/>
              </w:rPr>
            </w:pPr>
          </w:p>
          <w:p w14:paraId="1292AC23" w14:textId="4A04E277" w:rsidR="00275FEE" w:rsidRDefault="00000000">
            <w:pPr>
              <w:pStyle w:val="TOC2"/>
              <w:ind w:leftChars="0" w:left="0"/>
              <w:jc w:val="both"/>
              <w:rPr>
                <w:rFonts w:hint="eastAsia"/>
                <w:b/>
                <w:bCs/>
                <w:lang w:val="en-US"/>
              </w:rPr>
            </w:pPr>
            <w:r>
              <w:rPr>
                <w:rFonts w:hint="eastAsia"/>
                <w:b/>
                <w:bCs/>
                <w:lang w:val="en-US"/>
              </w:rPr>
              <w:t>9</w:t>
            </w:r>
            <w:r>
              <w:rPr>
                <w:rFonts w:hint="eastAsia"/>
                <w:b/>
                <w:bCs/>
              </w:rPr>
              <w:t>、</w:t>
            </w:r>
            <w:r>
              <w:rPr>
                <w:rFonts w:hint="eastAsia"/>
                <w:b/>
                <w:bCs/>
                <w:lang w:val="en-US"/>
              </w:rPr>
              <w:t>手工小笼包店型带来的可复制性和标准化程度是否能够解决行业加盟商带店率低的核心问题？以及门店内的专业师傅是否可以通过培训上岗，提高门店标准化程度？</w:t>
            </w:r>
          </w:p>
          <w:p w14:paraId="1FE278D5" w14:textId="77777777" w:rsidR="00275FEE" w:rsidRDefault="00000000">
            <w:pPr>
              <w:jc w:val="both"/>
              <w:rPr>
                <w:rFonts w:hint="eastAsia"/>
                <w:lang w:val="en-US"/>
              </w:rPr>
            </w:pPr>
            <w:r>
              <w:rPr>
                <w:rFonts w:hint="eastAsia"/>
                <w:b/>
                <w:bCs/>
              </w:rPr>
              <w:t>回复：</w:t>
            </w:r>
            <w:r>
              <w:rPr>
                <w:rFonts w:hint="eastAsia"/>
                <w:lang w:val="en-US"/>
              </w:rPr>
              <w:t>公司在新店型扩张上不会盲目追求速度，而更侧重于质量的提升。且行业内有充足的加盟商和门店专业师傅，因此当门店经营质量较高，赚钱效应较好，自然会吸引更多的加盟商，进而支撑门店的扩张。目前手工鲜肉包和手工小笼包两种店型已经打通，展望明年，这两类店型会持续进行扩张和改造。</w:t>
            </w:r>
          </w:p>
          <w:p w14:paraId="4E424D1C" w14:textId="77777777" w:rsidR="00275FEE" w:rsidRDefault="00275FEE">
            <w:pPr>
              <w:pStyle w:val="TOC2"/>
              <w:ind w:left="440"/>
              <w:jc w:val="both"/>
              <w:rPr>
                <w:lang w:val="en-US"/>
              </w:rPr>
            </w:pPr>
          </w:p>
          <w:p w14:paraId="598E0CD5" w14:textId="77777777" w:rsidR="00B2718D" w:rsidRPr="00B2718D" w:rsidRDefault="00B2718D" w:rsidP="00B2718D">
            <w:pPr>
              <w:rPr>
                <w:rFonts w:hint="eastAsia"/>
                <w:lang w:val="en-US"/>
              </w:rPr>
            </w:pPr>
          </w:p>
          <w:p w14:paraId="6094FAD2" w14:textId="77777777" w:rsidR="00275FEE" w:rsidRDefault="00000000">
            <w:pPr>
              <w:pStyle w:val="TOC2"/>
              <w:ind w:leftChars="0" w:left="0"/>
              <w:jc w:val="both"/>
              <w:rPr>
                <w:rFonts w:hint="eastAsia"/>
                <w:b/>
                <w:bCs/>
                <w:lang w:val="en-US"/>
              </w:rPr>
            </w:pPr>
            <w:r>
              <w:rPr>
                <w:rFonts w:hint="eastAsia"/>
                <w:b/>
                <w:bCs/>
                <w:lang w:val="en-US"/>
              </w:rPr>
              <w:lastRenderedPageBreak/>
              <w:t>10</w:t>
            </w:r>
            <w:r>
              <w:rPr>
                <w:rFonts w:hint="eastAsia"/>
                <w:b/>
                <w:bCs/>
              </w:rPr>
              <w:t>、</w:t>
            </w:r>
            <w:r>
              <w:rPr>
                <w:rFonts w:hint="eastAsia"/>
                <w:b/>
                <w:bCs/>
                <w:lang w:val="en-US"/>
              </w:rPr>
              <w:t>公司目前团餐业务情况和展望如何？</w:t>
            </w:r>
          </w:p>
          <w:p w14:paraId="4E672759" w14:textId="77777777" w:rsidR="00275FEE" w:rsidRDefault="00000000">
            <w:pPr>
              <w:jc w:val="both"/>
              <w:rPr>
                <w:rFonts w:hint="eastAsia"/>
                <w:b/>
                <w:bCs/>
                <w:lang w:val="en-US"/>
              </w:rPr>
            </w:pPr>
            <w:r>
              <w:rPr>
                <w:rFonts w:hint="eastAsia"/>
                <w:b/>
                <w:bCs/>
              </w:rPr>
              <w:t>回复：</w:t>
            </w:r>
            <w:r>
              <w:rPr>
                <w:rFonts w:hint="eastAsia"/>
                <w:lang w:val="en-US"/>
              </w:rPr>
              <w:t>团餐业务是公司目前的战略方向之一，希望后续能通过进一步的业务拓展来提高公司的产能利用率。</w:t>
            </w:r>
          </w:p>
          <w:p w14:paraId="665D7219" w14:textId="77777777" w:rsidR="00275FEE" w:rsidRDefault="00275FEE">
            <w:pPr>
              <w:pStyle w:val="TOC2"/>
              <w:ind w:left="440"/>
              <w:jc w:val="both"/>
              <w:rPr>
                <w:rFonts w:hint="eastAsia"/>
                <w:b/>
                <w:bCs/>
                <w:lang w:val="en-US"/>
              </w:rPr>
            </w:pPr>
          </w:p>
          <w:p w14:paraId="29EF1116" w14:textId="77777777" w:rsidR="00275FEE" w:rsidRDefault="00000000">
            <w:pPr>
              <w:pStyle w:val="TOC2"/>
              <w:ind w:leftChars="0" w:left="0"/>
              <w:jc w:val="both"/>
              <w:rPr>
                <w:rFonts w:hint="eastAsia"/>
                <w:b/>
                <w:bCs/>
                <w:lang w:val="en-US"/>
              </w:rPr>
            </w:pPr>
            <w:r>
              <w:rPr>
                <w:rFonts w:hint="eastAsia"/>
                <w:b/>
                <w:bCs/>
                <w:lang w:val="en-US"/>
              </w:rPr>
              <w:t>11</w:t>
            </w:r>
            <w:r>
              <w:rPr>
                <w:rFonts w:hint="eastAsia"/>
                <w:b/>
                <w:bCs/>
              </w:rPr>
              <w:t>、</w:t>
            </w:r>
            <w:r>
              <w:rPr>
                <w:rFonts w:hint="eastAsia"/>
                <w:b/>
                <w:bCs/>
                <w:lang w:val="en-US"/>
              </w:rPr>
              <w:t>公司三季度毛利率和费用率端改善明显，展望后续稳态的利润率水平是多少？</w:t>
            </w:r>
          </w:p>
          <w:p w14:paraId="536F30F6" w14:textId="77777777" w:rsidR="00275FEE" w:rsidRDefault="00000000">
            <w:pPr>
              <w:jc w:val="both"/>
              <w:rPr>
                <w:rFonts w:hint="eastAsia"/>
                <w:lang w:val="en-US"/>
              </w:rPr>
            </w:pPr>
            <w:r>
              <w:rPr>
                <w:rFonts w:hint="eastAsia"/>
                <w:b/>
                <w:bCs/>
              </w:rPr>
              <w:t>回复：</w:t>
            </w:r>
            <w:r>
              <w:rPr>
                <w:rFonts w:hint="eastAsia"/>
                <w:lang w:val="en-US"/>
              </w:rPr>
              <w:t>公司期望的稳态毛利率约为28%，稳态扣非净利润率约为14%。三季度毛利率略超稳态水平，主要得益于收入规模的增加和原材料的低成本红利。展望全年，公司期望能够达到稳态利润率水平。</w:t>
            </w:r>
          </w:p>
          <w:p w14:paraId="6BB64181" w14:textId="77777777" w:rsidR="00275FEE" w:rsidRDefault="00275FEE">
            <w:pPr>
              <w:jc w:val="both"/>
              <w:rPr>
                <w:rFonts w:hint="eastAsia"/>
                <w:lang w:val="en-US"/>
              </w:rPr>
            </w:pPr>
          </w:p>
          <w:p w14:paraId="49FBE088" w14:textId="77777777" w:rsidR="00275FEE" w:rsidRDefault="00000000">
            <w:pPr>
              <w:pStyle w:val="TOC2"/>
              <w:ind w:leftChars="0" w:left="0"/>
              <w:jc w:val="both"/>
              <w:rPr>
                <w:rFonts w:hint="eastAsia"/>
                <w:b/>
                <w:bCs/>
                <w:lang w:val="en-US"/>
              </w:rPr>
            </w:pPr>
            <w:r>
              <w:rPr>
                <w:rFonts w:hint="eastAsia"/>
                <w:b/>
                <w:bCs/>
                <w:lang w:val="en-US"/>
              </w:rPr>
              <w:t>12</w:t>
            </w:r>
            <w:r>
              <w:rPr>
                <w:rFonts w:hint="eastAsia"/>
                <w:b/>
                <w:bCs/>
              </w:rPr>
              <w:t>、</w:t>
            </w:r>
            <w:r>
              <w:rPr>
                <w:rFonts w:hint="eastAsia"/>
                <w:b/>
                <w:bCs/>
                <w:lang w:val="en-US"/>
              </w:rPr>
              <w:t>公司的股东回报如何预期？</w:t>
            </w:r>
          </w:p>
          <w:p w14:paraId="5EE1A62F" w14:textId="1B1FE8DF" w:rsidR="00275FEE" w:rsidRDefault="00000000">
            <w:pPr>
              <w:jc w:val="both"/>
              <w:rPr>
                <w:rFonts w:hint="eastAsia"/>
                <w:lang w:val="en-US"/>
              </w:rPr>
            </w:pPr>
            <w:r>
              <w:rPr>
                <w:rFonts w:hint="eastAsia"/>
                <w:b/>
                <w:bCs/>
              </w:rPr>
              <w:t>回复：</w:t>
            </w:r>
            <w:r>
              <w:rPr>
                <w:rFonts w:hint="eastAsia"/>
                <w:lang w:val="en-US"/>
              </w:rPr>
              <w:t>目前公司的资本开支较为固定，账面现金较为充足，因此展望未来，公司有望保持较为合理的股东回报水平。</w:t>
            </w:r>
          </w:p>
          <w:p w14:paraId="42F47346" w14:textId="77777777" w:rsidR="00275FEE" w:rsidRDefault="00275FEE">
            <w:pPr>
              <w:pStyle w:val="TOC2"/>
              <w:ind w:leftChars="0" w:left="0"/>
              <w:rPr>
                <w:lang w:val="en-US"/>
              </w:rPr>
            </w:pPr>
          </w:p>
          <w:p w14:paraId="427C014A" w14:textId="77777777" w:rsidR="00B2718D" w:rsidRDefault="00B2718D" w:rsidP="00B2718D">
            <w:pPr>
              <w:rPr>
                <w:lang w:val="en-US"/>
              </w:rPr>
            </w:pPr>
          </w:p>
          <w:p w14:paraId="7E865008" w14:textId="77777777" w:rsidR="00B2718D" w:rsidRDefault="00B2718D" w:rsidP="00B2718D">
            <w:pPr>
              <w:pStyle w:val="TOC2"/>
              <w:ind w:left="440"/>
              <w:rPr>
                <w:lang w:val="en-US"/>
              </w:rPr>
            </w:pPr>
          </w:p>
          <w:p w14:paraId="3BCED53B" w14:textId="77777777" w:rsidR="00B2718D" w:rsidRDefault="00B2718D" w:rsidP="00B2718D">
            <w:pPr>
              <w:rPr>
                <w:lang w:val="en-US"/>
              </w:rPr>
            </w:pPr>
          </w:p>
          <w:p w14:paraId="3AB1B4F7" w14:textId="77777777" w:rsidR="00B2718D" w:rsidRDefault="00B2718D" w:rsidP="00B2718D">
            <w:pPr>
              <w:pStyle w:val="TOC2"/>
              <w:ind w:left="440"/>
              <w:rPr>
                <w:lang w:val="en-US"/>
              </w:rPr>
            </w:pPr>
          </w:p>
          <w:p w14:paraId="72D4F99C" w14:textId="77777777" w:rsidR="00B2718D" w:rsidRDefault="00B2718D" w:rsidP="00B2718D">
            <w:pPr>
              <w:rPr>
                <w:lang w:val="en-US"/>
              </w:rPr>
            </w:pPr>
          </w:p>
          <w:p w14:paraId="088111D6" w14:textId="77777777" w:rsidR="00B2718D" w:rsidRDefault="00B2718D" w:rsidP="00B2718D">
            <w:pPr>
              <w:pStyle w:val="TOC2"/>
              <w:ind w:left="440"/>
              <w:rPr>
                <w:lang w:val="en-US"/>
              </w:rPr>
            </w:pPr>
          </w:p>
          <w:p w14:paraId="42F07D3E" w14:textId="77777777" w:rsidR="00B2718D" w:rsidRPr="00B2718D" w:rsidRDefault="00B2718D" w:rsidP="00B2718D">
            <w:pPr>
              <w:rPr>
                <w:lang w:val="en-US"/>
              </w:rPr>
            </w:pPr>
          </w:p>
          <w:p w14:paraId="11B13EAE" w14:textId="77777777" w:rsidR="00B2718D" w:rsidRPr="00B2718D" w:rsidRDefault="00B2718D" w:rsidP="00B2718D">
            <w:pPr>
              <w:pStyle w:val="TOC2"/>
              <w:ind w:left="440"/>
              <w:rPr>
                <w:rFonts w:hint="eastAsia"/>
                <w:lang w:val="en-US"/>
              </w:rPr>
            </w:pPr>
          </w:p>
        </w:tc>
      </w:tr>
    </w:tbl>
    <w:p w14:paraId="3C51396F" w14:textId="77777777" w:rsidR="00275FEE" w:rsidRDefault="00275FEE">
      <w:pPr>
        <w:rPr>
          <w:rFonts w:hint="eastAsia"/>
        </w:rPr>
      </w:pPr>
    </w:p>
    <w:p w14:paraId="13153A02" w14:textId="77777777" w:rsidR="00275FEE" w:rsidRDefault="00275FEE">
      <w:pPr>
        <w:pStyle w:val="TOC2"/>
        <w:ind w:left="440"/>
        <w:rPr>
          <w:rFonts w:hint="eastAsia"/>
        </w:rPr>
      </w:pPr>
    </w:p>
    <w:p w14:paraId="305F1AAC" w14:textId="77777777" w:rsidR="00275FEE" w:rsidRDefault="00275FEE">
      <w:pPr>
        <w:rPr>
          <w:rFonts w:hint="eastAsia"/>
        </w:rPr>
      </w:pPr>
    </w:p>
    <w:p w14:paraId="4B8EF7F3" w14:textId="77777777" w:rsidR="00275FEE" w:rsidRDefault="00275FEE">
      <w:pPr>
        <w:pStyle w:val="TOC2"/>
        <w:ind w:left="440"/>
        <w:rPr>
          <w:rFonts w:hint="eastAsia"/>
        </w:rPr>
      </w:pPr>
    </w:p>
    <w:p w14:paraId="46CAF959" w14:textId="77777777" w:rsidR="00275FEE" w:rsidRDefault="00275FEE">
      <w:pPr>
        <w:rPr>
          <w:rFonts w:hint="eastAsia"/>
        </w:rPr>
      </w:pPr>
    </w:p>
    <w:sectPr w:rsidR="00275FEE">
      <w:headerReference w:type="default" r:id="rId7"/>
      <w:pgSz w:w="11910" w:h="16840"/>
      <w:pgMar w:top="1440" w:right="1800" w:bottom="1440" w:left="1800" w:header="877"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46E4D" w14:textId="77777777" w:rsidR="002B5383" w:rsidRDefault="002B5383">
      <w:pPr>
        <w:rPr>
          <w:rFonts w:hint="eastAsia"/>
        </w:rPr>
      </w:pPr>
      <w:r>
        <w:separator/>
      </w:r>
    </w:p>
  </w:endnote>
  <w:endnote w:type="continuationSeparator" w:id="0">
    <w:p w14:paraId="5214A932" w14:textId="77777777" w:rsidR="002B5383" w:rsidRDefault="002B538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A386C" w14:textId="77777777" w:rsidR="002B5383" w:rsidRDefault="002B5383">
      <w:pPr>
        <w:rPr>
          <w:rFonts w:hint="eastAsia"/>
        </w:rPr>
      </w:pPr>
      <w:r>
        <w:separator/>
      </w:r>
    </w:p>
  </w:footnote>
  <w:footnote w:type="continuationSeparator" w:id="0">
    <w:p w14:paraId="4AF4D5D1" w14:textId="77777777" w:rsidR="002B5383" w:rsidRDefault="002B5383">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291A8" w14:textId="77777777" w:rsidR="00275FEE" w:rsidRDefault="00000000">
    <w:pPr>
      <w:pStyle w:val="a5"/>
      <w:spacing w:before="0" w:line="14" w:lineRule="auto"/>
      <w:rPr>
        <w:rFonts w:hint="eastAsia"/>
        <w:b w:val="0"/>
        <w:sz w:val="20"/>
      </w:rPr>
    </w:pPr>
    <w:r>
      <w:rPr>
        <w:noProof/>
        <w:lang w:val="en-US" w:bidi="ar-SA"/>
      </w:rPr>
      <mc:AlternateContent>
        <mc:Choice Requires="wps">
          <w:drawing>
            <wp:anchor distT="0" distB="0" distL="114300" distR="114300" simplePos="0" relativeHeight="251659264" behindDoc="1" locked="0" layoutInCell="1" allowOverlap="1" wp14:anchorId="33FD3415" wp14:editId="13C3CBA5">
              <wp:simplePos x="0" y="0"/>
              <wp:positionH relativeFrom="page">
                <wp:posOffset>1124585</wp:posOffset>
              </wp:positionH>
              <wp:positionV relativeFrom="page">
                <wp:posOffset>705485</wp:posOffset>
              </wp:positionV>
              <wp:extent cx="5311775" cy="0"/>
              <wp:effectExtent l="0" t="0" r="0" b="0"/>
              <wp:wrapNone/>
              <wp:docPr id="1" name="直线 1"/>
              <wp:cNvGraphicFramePr/>
              <a:graphic xmlns:a="http://schemas.openxmlformats.org/drawingml/2006/main">
                <a:graphicData uri="http://schemas.microsoft.com/office/word/2010/wordprocessingShape">
                  <wps:wsp>
                    <wps:cNvCnPr/>
                    <wps:spPr>
                      <a:xfrm>
                        <a:off x="0" y="0"/>
                        <a:ext cx="5311775" cy="0"/>
                      </a:xfrm>
                      <a:prstGeom prst="line">
                        <a:avLst/>
                      </a:prstGeom>
                      <a:ln w="9144"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线 1" o:spid="_x0000_s1026" o:spt="20" style="position:absolute;left:0pt;margin-left:88.55pt;margin-top:55.55pt;height:0pt;width:418.25pt;mso-position-horizontal-relative:page;mso-position-vertical-relative:page;z-index:-251657216;mso-width-relative:page;mso-height-relative:page;" filled="f" stroked="t" coordsize="21600,21600" o:gfxdata="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V9DvW1QAAAAwBAAAPAAAA&#10;AAAAAAEAIAAAACIAAABkcnMvZG93bnJldi54bWxQSwECFAAUAAAACACHTuJA8k42VN8BAADPAwAA&#10;DgAAAAAAAAABACAAAAAkAQAAZHJzL2Uyb0RvYy54bWxQSwUGAAAAAAYABgBZAQAAdQUAAAAA&#10;">
              <v:fill on="f" focussize="0,0"/>
              <v:stroke weight="0.72pt" color="#000000" joinstyle="round"/>
              <v:imagedata o:title=""/>
              <o:lock v:ext="edit" aspectratio="f"/>
            </v:line>
          </w:pict>
        </mc:Fallback>
      </mc:AlternateContent>
    </w:r>
    <w:r>
      <w:rPr>
        <w:noProof/>
        <w:lang w:val="en-US" w:bidi="ar-SA"/>
      </w:rPr>
      <mc:AlternateContent>
        <mc:Choice Requires="wps">
          <w:drawing>
            <wp:anchor distT="0" distB="0" distL="114300" distR="114300" simplePos="0" relativeHeight="251660288" behindDoc="1" locked="0" layoutInCell="1" allowOverlap="1" wp14:anchorId="59682D64" wp14:editId="0CA234DD">
              <wp:simplePos x="0" y="0"/>
              <wp:positionH relativeFrom="page">
                <wp:posOffset>1130300</wp:posOffset>
              </wp:positionH>
              <wp:positionV relativeFrom="page">
                <wp:posOffset>544195</wp:posOffset>
              </wp:positionV>
              <wp:extent cx="944880" cy="1524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944880" cy="152400"/>
                      </a:xfrm>
                      <a:prstGeom prst="rect">
                        <a:avLst/>
                      </a:prstGeom>
                      <a:noFill/>
                      <a:ln>
                        <a:noFill/>
                      </a:ln>
                    </wps:spPr>
                    <wps:txbx>
                      <w:txbxContent>
                        <w:p w14:paraId="294A8EDA" w14:textId="77777777" w:rsidR="00275FEE" w:rsidRDefault="00000000">
                          <w:pPr>
                            <w:spacing w:line="225" w:lineRule="exact"/>
                            <w:ind w:left="20"/>
                            <w:rPr>
                              <w:rFonts w:ascii="Calibri" w:hint="eastAsia"/>
                              <w:sz w:val="18"/>
                              <w:lang w:val="en-US"/>
                            </w:rPr>
                          </w:pPr>
                          <w:r>
                            <w:rPr>
                              <w:sz w:val="18"/>
                            </w:rPr>
                            <w:t>证券代码：</w:t>
                          </w:r>
                          <w:r>
                            <w:rPr>
                              <w:rFonts w:hint="eastAsia"/>
                              <w:sz w:val="18"/>
                              <w:lang w:val="en-US"/>
                            </w:rPr>
                            <w:t>605338</w:t>
                          </w:r>
                        </w:p>
                      </w:txbxContent>
                    </wps:txbx>
                    <wps:bodyPr wrap="square" lIns="0" tIns="0" rIns="0" bIns="0" upright="1"/>
                  </wps:wsp>
                </a:graphicData>
              </a:graphic>
            </wp:anchor>
          </w:drawing>
        </mc:Choice>
        <mc:Fallback xmlns:wpsCustomData="http://www.wps.cn/officeDocument/2013/wpsCustomData">
          <w:pict>
            <v:shape id="_x0000_s1026" o:spid="_x0000_s1026" o:spt="202" type="#_x0000_t202" style="position:absolute;left:0pt;margin-left:89pt;margin-top:42.85pt;height:12pt;width:74.4pt;mso-position-horizontal-relative:page;mso-position-vertical-relative:page;z-index:-251656192;mso-width-relative:page;mso-height-relative:page;" filled="f" stroked="f" coordsize="21600,21600" o:gfxdata="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ItyhczYAAAACgEAAA8AAAAAAAAAAQAgAAAAIgAAAGRycy9kb3ducmV2&#10;LnhtbFBLAQIUABQAAAAIAIdO4kA3XHzvwwEAAH8DAAAOAAAAAAAAAAEAIAAAACcBAABkcnMvZTJv&#10;RG9jLnhtbFBLBQYAAAAABgAGAFkBAABcBQAAAAA=&#10;">
              <v:fill on="f" focussize="0,0"/>
              <v:stroke on="f"/>
              <v:imagedata o:title=""/>
              <o:lock v:ext="edit" aspectratio="f"/>
              <v:textbox inset="0mm,0mm,0mm,0mm">
                <w:txbxContent>
                  <w:p w14:paraId="215B08B9">
                    <w:pPr>
                      <w:spacing w:line="225" w:lineRule="exact"/>
                      <w:ind w:left="20"/>
                      <w:rPr>
                        <w:rFonts w:hint="eastAsia" w:ascii="Calibri"/>
                        <w:sz w:val="18"/>
                        <w:lang w:val="en-US"/>
                      </w:rPr>
                    </w:pPr>
                    <w:r>
                      <w:rPr>
                        <w:sz w:val="18"/>
                      </w:rPr>
                      <w:t>证券代码：</w:t>
                    </w:r>
                    <w:r>
                      <w:rPr>
                        <w:rFonts w:hint="eastAsia"/>
                        <w:sz w:val="18"/>
                        <w:lang w:val="en-US"/>
                      </w:rPr>
                      <w:t>605338</w:t>
                    </w:r>
                  </w:p>
                </w:txbxContent>
              </v:textbox>
            </v:shape>
          </w:pict>
        </mc:Fallback>
      </mc:AlternateContent>
    </w:r>
    <w:r>
      <w:rPr>
        <w:noProof/>
        <w:lang w:val="en-US" w:bidi="ar-SA"/>
      </w:rPr>
      <mc:AlternateContent>
        <mc:Choice Requires="wps">
          <w:drawing>
            <wp:anchor distT="0" distB="0" distL="114300" distR="114300" simplePos="0" relativeHeight="251661312" behindDoc="1" locked="0" layoutInCell="1" allowOverlap="1" wp14:anchorId="45D2CC77" wp14:editId="42FAC453">
              <wp:simplePos x="0" y="0"/>
              <wp:positionH relativeFrom="page">
                <wp:posOffset>5367655</wp:posOffset>
              </wp:positionH>
              <wp:positionV relativeFrom="page">
                <wp:posOffset>544195</wp:posOffset>
              </wp:positionV>
              <wp:extent cx="1054100"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54100" cy="139700"/>
                      </a:xfrm>
                      <a:prstGeom prst="rect">
                        <a:avLst/>
                      </a:prstGeom>
                      <a:noFill/>
                      <a:ln>
                        <a:noFill/>
                      </a:ln>
                    </wps:spPr>
                    <wps:txbx>
                      <w:txbxContent>
                        <w:p w14:paraId="22BB10B4" w14:textId="77777777" w:rsidR="00275FEE" w:rsidRDefault="00000000">
                          <w:pPr>
                            <w:spacing w:line="220" w:lineRule="exact"/>
                            <w:ind w:left="20"/>
                            <w:rPr>
                              <w:rFonts w:hint="eastAsia"/>
                              <w:sz w:val="18"/>
                              <w:lang w:val="en-US"/>
                            </w:rPr>
                          </w:pPr>
                          <w:r>
                            <w:rPr>
                              <w:sz w:val="18"/>
                            </w:rPr>
                            <w:t>证券简称：</w:t>
                          </w:r>
                          <w:r>
                            <w:rPr>
                              <w:rFonts w:hint="eastAsia"/>
                              <w:sz w:val="18"/>
                              <w:lang w:val="en-US"/>
                            </w:rPr>
                            <w:t>巴比食品</w:t>
                          </w:r>
                        </w:p>
                      </w:txbxContent>
                    </wps:txbx>
                    <wps:bodyPr wrap="square" lIns="0" tIns="0" rIns="0" bIns="0" upright="1"/>
                  </wps:wsp>
                </a:graphicData>
              </a:graphic>
            </wp:anchor>
          </w:drawing>
        </mc:Choice>
        <mc:Fallback xmlns:wpsCustomData="http://www.wps.cn/officeDocument/2013/wpsCustomData">
          <w:pict>
            <v:shape id="_x0000_s1026" o:spid="_x0000_s1026" o:spt="202" type="#_x0000_t202" style="position:absolute;left:0pt;margin-left:422.65pt;margin-top:42.85pt;height:11pt;width:83pt;mso-position-horizontal-relative:page;mso-position-vertical-relative:page;z-index:-251655168;mso-width-relative:page;mso-height-relative:page;" filled="f" stroked="f" coordsize="21600,21600" o:gfxdata="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qjLybYAAAACwEAAA8AAAAAAAAAAQAgAAAAIgAAAGRycy9kb3ducmV2&#10;LnhtbFBLAQIUABQAAAAIAIdO4kDo6BIWwwEAAIADAAAOAAAAAAAAAAEAIAAAACcBAABkcnMvZTJv&#10;RG9jLnhtbFBLBQYAAAAABgAGAFkBAABcBQAAAAA=&#10;">
              <v:fill on="f" focussize="0,0"/>
              <v:stroke on="f"/>
              <v:imagedata o:title=""/>
              <o:lock v:ext="edit" aspectratio="f"/>
              <v:textbox inset="0mm,0mm,0mm,0mm">
                <w:txbxContent>
                  <w:p w14:paraId="56A70A97">
                    <w:pPr>
                      <w:spacing w:line="220" w:lineRule="exact"/>
                      <w:ind w:left="20"/>
                      <w:rPr>
                        <w:rFonts w:hint="eastAsia"/>
                        <w:sz w:val="18"/>
                        <w:lang w:val="en-US"/>
                      </w:rPr>
                    </w:pPr>
                    <w:r>
                      <w:rPr>
                        <w:sz w:val="18"/>
                      </w:rPr>
                      <w:t>证券简称：</w:t>
                    </w:r>
                    <w:r>
                      <w:rPr>
                        <w:rFonts w:hint="eastAsia"/>
                        <w:sz w:val="18"/>
                        <w:lang w:val="en-US"/>
                      </w:rPr>
                      <w:t>巴比食品</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RhZTEyYzhjYWM5YTdlMTNmOWQwNGQxMzM4ODdkOTkifQ=="/>
  </w:docVars>
  <w:rsids>
    <w:rsidRoot w:val="00ED1AD7"/>
    <w:rsid w:val="00000701"/>
    <w:rsid w:val="00003632"/>
    <w:rsid w:val="0000365E"/>
    <w:rsid w:val="00005D06"/>
    <w:rsid w:val="00010C50"/>
    <w:rsid w:val="00013735"/>
    <w:rsid w:val="0001433E"/>
    <w:rsid w:val="00014F4C"/>
    <w:rsid w:val="0002323F"/>
    <w:rsid w:val="000237CE"/>
    <w:rsid w:val="000259BB"/>
    <w:rsid w:val="00026104"/>
    <w:rsid w:val="0002692C"/>
    <w:rsid w:val="00027C6F"/>
    <w:rsid w:val="00030E6A"/>
    <w:rsid w:val="000319B9"/>
    <w:rsid w:val="000356DC"/>
    <w:rsid w:val="00043F8D"/>
    <w:rsid w:val="000443CB"/>
    <w:rsid w:val="00044630"/>
    <w:rsid w:val="00044B8F"/>
    <w:rsid w:val="000455ED"/>
    <w:rsid w:val="00047C8F"/>
    <w:rsid w:val="00053A46"/>
    <w:rsid w:val="00053B5E"/>
    <w:rsid w:val="0006285C"/>
    <w:rsid w:val="000629D4"/>
    <w:rsid w:val="00063BC8"/>
    <w:rsid w:val="000648B5"/>
    <w:rsid w:val="0006739F"/>
    <w:rsid w:val="0007061A"/>
    <w:rsid w:val="000714B8"/>
    <w:rsid w:val="00072762"/>
    <w:rsid w:val="000729E6"/>
    <w:rsid w:val="00075587"/>
    <w:rsid w:val="000769C2"/>
    <w:rsid w:val="00083625"/>
    <w:rsid w:val="00083E86"/>
    <w:rsid w:val="00086283"/>
    <w:rsid w:val="00092617"/>
    <w:rsid w:val="00097CBF"/>
    <w:rsid w:val="000A10F7"/>
    <w:rsid w:val="000A179C"/>
    <w:rsid w:val="000A1B77"/>
    <w:rsid w:val="000A31DA"/>
    <w:rsid w:val="000A5F3D"/>
    <w:rsid w:val="000B109B"/>
    <w:rsid w:val="000B1BA0"/>
    <w:rsid w:val="000B57E6"/>
    <w:rsid w:val="000B7C12"/>
    <w:rsid w:val="000C35B3"/>
    <w:rsid w:val="000C47A5"/>
    <w:rsid w:val="000C5A02"/>
    <w:rsid w:val="000C7156"/>
    <w:rsid w:val="000D0839"/>
    <w:rsid w:val="000D371A"/>
    <w:rsid w:val="000D478A"/>
    <w:rsid w:val="000D6C40"/>
    <w:rsid w:val="000E231A"/>
    <w:rsid w:val="000E2667"/>
    <w:rsid w:val="000E5940"/>
    <w:rsid w:val="000E60C9"/>
    <w:rsid w:val="000F3486"/>
    <w:rsid w:val="000F7017"/>
    <w:rsid w:val="000F768C"/>
    <w:rsid w:val="00103FCC"/>
    <w:rsid w:val="001100FD"/>
    <w:rsid w:val="00112ED3"/>
    <w:rsid w:val="00113A98"/>
    <w:rsid w:val="00114282"/>
    <w:rsid w:val="001157EF"/>
    <w:rsid w:val="0011639D"/>
    <w:rsid w:val="00116D72"/>
    <w:rsid w:val="001248F5"/>
    <w:rsid w:val="001317B8"/>
    <w:rsid w:val="00133936"/>
    <w:rsid w:val="001377D4"/>
    <w:rsid w:val="00142635"/>
    <w:rsid w:val="001426DF"/>
    <w:rsid w:val="00145C8C"/>
    <w:rsid w:val="00145FA6"/>
    <w:rsid w:val="0014707A"/>
    <w:rsid w:val="0015213C"/>
    <w:rsid w:val="00153BAF"/>
    <w:rsid w:val="00155250"/>
    <w:rsid w:val="00160660"/>
    <w:rsid w:val="00166FA4"/>
    <w:rsid w:val="00167EE7"/>
    <w:rsid w:val="001735F0"/>
    <w:rsid w:val="00177B1B"/>
    <w:rsid w:val="001819B7"/>
    <w:rsid w:val="001824D1"/>
    <w:rsid w:val="00185FAF"/>
    <w:rsid w:val="00186B93"/>
    <w:rsid w:val="00192794"/>
    <w:rsid w:val="001947E6"/>
    <w:rsid w:val="001949BC"/>
    <w:rsid w:val="001A098E"/>
    <w:rsid w:val="001A30D6"/>
    <w:rsid w:val="001A3626"/>
    <w:rsid w:val="001A64F2"/>
    <w:rsid w:val="001B2854"/>
    <w:rsid w:val="001C02E5"/>
    <w:rsid w:val="001C532E"/>
    <w:rsid w:val="001C57D8"/>
    <w:rsid w:val="001C688D"/>
    <w:rsid w:val="001C6E2B"/>
    <w:rsid w:val="001D0A4F"/>
    <w:rsid w:val="001D324C"/>
    <w:rsid w:val="001D79BA"/>
    <w:rsid w:val="001E3009"/>
    <w:rsid w:val="001E53B6"/>
    <w:rsid w:val="001F0D82"/>
    <w:rsid w:val="001F18FB"/>
    <w:rsid w:val="001F1EAF"/>
    <w:rsid w:val="001F2B51"/>
    <w:rsid w:val="001F496C"/>
    <w:rsid w:val="001F656B"/>
    <w:rsid w:val="002029D2"/>
    <w:rsid w:val="00202BB6"/>
    <w:rsid w:val="00206354"/>
    <w:rsid w:val="00210CDC"/>
    <w:rsid w:val="00212838"/>
    <w:rsid w:val="00220241"/>
    <w:rsid w:val="00220263"/>
    <w:rsid w:val="00220DC8"/>
    <w:rsid w:val="00220F3F"/>
    <w:rsid w:val="00221813"/>
    <w:rsid w:val="00221E45"/>
    <w:rsid w:val="00232DD7"/>
    <w:rsid w:val="0023384B"/>
    <w:rsid w:val="00233D73"/>
    <w:rsid w:val="00235190"/>
    <w:rsid w:val="00236C1C"/>
    <w:rsid w:val="00240BEE"/>
    <w:rsid w:val="00241EAD"/>
    <w:rsid w:val="002428EA"/>
    <w:rsid w:val="0024291E"/>
    <w:rsid w:val="00244483"/>
    <w:rsid w:val="00250A85"/>
    <w:rsid w:val="002521EF"/>
    <w:rsid w:val="00265C4A"/>
    <w:rsid w:val="002664C3"/>
    <w:rsid w:val="00271C02"/>
    <w:rsid w:val="00275DC0"/>
    <w:rsid w:val="00275FEE"/>
    <w:rsid w:val="00277C5D"/>
    <w:rsid w:val="0028033D"/>
    <w:rsid w:val="002825E7"/>
    <w:rsid w:val="00282643"/>
    <w:rsid w:val="002901E5"/>
    <w:rsid w:val="002903D6"/>
    <w:rsid w:val="002924E0"/>
    <w:rsid w:val="00292CBE"/>
    <w:rsid w:val="0029458C"/>
    <w:rsid w:val="00296600"/>
    <w:rsid w:val="00296C87"/>
    <w:rsid w:val="002A013E"/>
    <w:rsid w:val="002A0479"/>
    <w:rsid w:val="002A1C6C"/>
    <w:rsid w:val="002B0412"/>
    <w:rsid w:val="002B0D24"/>
    <w:rsid w:val="002B1723"/>
    <w:rsid w:val="002B5383"/>
    <w:rsid w:val="002C0C89"/>
    <w:rsid w:val="002C6B10"/>
    <w:rsid w:val="002D2872"/>
    <w:rsid w:val="002D4737"/>
    <w:rsid w:val="002D4FEB"/>
    <w:rsid w:val="002D5640"/>
    <w:rsid w:val="002D56B5"/>
    <w:rsid w:val="002D6F84"/>
    <w:rsid w:val="002E2875"/>
    <w:rsid w:val="002E4372"/>
    <w:rsid w:val="002E5F15"/>
    <w:rsid w:val="002E68AF"/>
    <w:rsid w:val="002F05BA"/>
    <w:rsid w:val="002F5C08"/>
    <w:rsid w:val="003031E1"/>
    <w:rsid w:val="003071B0"/>
    <w:rsid w:val="00307D86"/>
    <w:rsid w:val="00312AF9"/>
    <w:rsid w:val="00312E64"/>
    <w:rsid w:val="0031339D"/>
    <w:rsid w:val="00317DA9"/>
    <w:rsid w:val="003216E3"/>
    <w:rsid w:val="0032173C"/>
    <w:rsid w:val="00324FCC"/>
    <w:rsid w:val="00330F2A"/>
    <w:rsid w:val="003360CA"/>
    <w:rsid w:val="0034179B"/>
    <w:rsid w:val="00341B2D"/>
    <w:rsid w:val="00343104"/>
    <w:rsid w:val="00344B49"/>
    <w:rsid w:val="00352714"/>
    <w:rsid w:val="00354E01"/>
    <w:rsid w:val="00356DF9"/>
    <w:rsid w:val="00357136"/>
    <w:rsid w:val="00357228"/>
    <w:rsid w:val="003671FB"/>
    <w:rsid w:val="003676FA"/>
    <w:rsid w:val="00367895"/>
    <w:rsid w:val="00370678"/>
    <w:rsid w:val="00372A9B"/>
    <w:rsid w:val="00373706"/>
    <w:rsid w:val="00374157"/>
    <w:rsid w:val="003768A9"/>
    <w:rsid w:val="00381B4F"/>
    <w:rsid w:val="003858B5"/>
    <w:rsid w:val="0039211A"/>
    <w:rsid w:val="00393B91"/>
    <w:rsid w:val="00394297"/>
    <w:rsid w:val="0039714C"/>
    <w:rsid w:val="003A2390"/>
    <w:rsid w:val="003A3130"/>
    <w:rsid w:val="003A328E"/>
    <w:rsid w:val="003A3D65"/>
    <w:rsid w:val="003A5458"/>
    <w:rsid w:val="003A7565"/>
    <w:rsid w:val="003A784A"/>
    <w:rsid w:val="003B177A"/>
    <w:rsid w:val="003B4C24"/>
    <w:rsid w:val="003C64CD"/>
    <w:rsid w:val="003C6B33"/>
    <w:rsid w:val="003D299A"/>
    <w:rsid w:val="003D2BD1"/>
    <w:rsid w:val="003E3814"/>
    <w:rsid w:val="003E39C9"/>
    <w:rsid w:val="003E49A0"/>
    <w:rsid w:val="003E5866"/>
    <w:rsid w:val="003F1151"/>
    <w:rsid w:val="003F72C2"/>
    <w:rsid w:val="003F7E25"/>
    <w:rsid w:val="004013FE"/>
    <w:rsid w:val="00401A5D"/>
    <w:rsid w:val="00401B88"/>
    <w:rsid w:val="0040652F"/>
    <w:rsid w:val="00406C9F"/>
    <w:rsid w:val="00407B75"/>
    <w:rsid w:val="004118C7"/>
    <w:rsid w:val="00411DAF"/>
    <w:rsid w:val="00416528"/>
    <w:rsid w:val="004165AD"/>
    <w:rsid w:val="00417E1F"/>
    <w:rsid w:val="0042286D"/>
    <w:rsid w:val="00424081"/>
    <w:rsid w:val="004242A7"/>
    <w:rsid w:val="004262A4"/>
    <w:rsid w:val="004326C4"/>
    <w:rsid w:val="00433E95"/>
    <w:rsid w:val="00433ED1"/>
    <w:rsid w:val="004351BA"/>
    <w:rsid w:val="00441CA7"/>
    <w:rsid w:val="00443560"/>
    <w:rsid w:val="00444AFC"/>
    <w:rsid w:val="00445B79"/>
    <w:rsid w:val="004466AB"/>
    <w:rsid w:val="00446FD6"/>
    <w:rsid w:val="0045072A"/>
    <w:rsid w:val="00454A0F"/>
    <w:rsid w:val="00460FF3"/>
    <w:rsid w:val="00461118"/>
    <w:rsid w:val="00464DAC"/>
    <w:rsid w:val="00465E7F"/>
    <w:rsid w:val="00470C00"/>
    <w:rsid w:val="004776E9"/>
    <w:rsid w:val="0047795D"/>
    <w:rsid w:val="00480EF7"/>
    <w:rsid w:val="00483405"/>
    <w:rsid w:val="00490F49"/>
    <w:rsid w:val="0049301A"/>
    <w:rsid w:val="00496640"/>
    <w:rsid w:val="004A26D8"/>
    <w:rsid w:val="004A32E7"/>
    <w:rsid w:val="004A3F4D"/>
    <w:rsid w:val="004A7825"/>
    <w:rsid w:val="004B0442"/>
    <w:rsid w:val="004B18F3"/>
    <w:rsid w:val="004B205C"/>
    <w:rsid w:val="004C0CDE"/>
    <w:rsid w:val="004C3990"/>
    <w:rsid w:val="004C5EE7"/>
    <w:rsid w:val="004C67DE"/>
    <w:rsid w:val="004D240F"/>
    <w:rsid w:val="004D2803"/>
    <w:rsid w:val="004D29CC"/>
    <w:rsid w:val="004D622C"/>
    <w:rsid w:val="004D6F9B"/>
    <w:rsid w:val="004D73AA"/>
    <w:rsid w:val="004D74AC"/>
    <w:rsid w:val="004D7786"/>
    <w:rsid w:val="004E0C13"/>
    <w:rsid w:val="004E2861"/>
    <w:rsid w:val="004E295F"/>
    <w:rsid w:val="004E52D7"/>
    <w:rsid w:val="004E6159"/>
    <w:rsid w:val="004F065E"/>
    <w:rsid w:val="004F0D3D"/>
    <w:rsid w:val="004F21EA"/>
    <w:rsid w:val="004F22E8"/>
    <w:rsid w:val="004F5734"/>
    <w:rsid w:val="00500AED"/>
    <w:rsid w:val="00502351"/>
    <w:rsid w:val="00503CEE"/>
    <w:rsid w:val="0050761A"/>
    <w:rsid w:val="005077B7"/>
    <w:rsid w:val="00507C00"/>
    <w:rsid w:val="00510FA4"/>
    <w:rsid w:val="0051152A"/>
    <w:rsid w:val="00512DD7"/>
    <w:rsid w:val="00514905"/>
    <w:rsid w:val="005160AB"/>
    <w:rsid w:val="005172BD"/>
    <w:rsid w:val="00522A3F"/>
    <w:rsid w:val="00522EA5"/>
    <w:rsid w:val="005253BD"/>
    <w:rsid w:val="005256DE"/>
    <w:rsid w:val="00526DBB"/>
    <w:rsid w:val="00530E83"/>
    <w:rsid w:val="00532161"/>
    <w:rsid w:val="00534248"/>
    <w:rsid w:val="00536237"/>
    <w:rsid w:val="0053692E"/>
    <w:rsid w:val="00537D1A"/>
    <w:rsid w:val="00537EB4"/>
    <w:rsid w:val="00540B9E"/>
    <w:rsid w:val="00542140"/>
    <w:rsid w:val="00542CA0"/>
    <w:rsid w:val="0054583D"/>
    <w:rsid w:val="0054660F"/>
    <w:rsid w:val="00547AB0"/>
    <w:rsid w:val="00557909"/>
    <w:rsid w:val="00557D3C"/>
    <w:rsid w:val="00560309"/>
    <w:rsid w:val="00564041"/>
    <w:rsid w:val="00564281"/>
    <w:rsid w:val="00564E0A"/>
    <w:rsid w:val="00565A34"/>
    <w:rsid w:val="00567FC9"/>
    <w:rsid w:val="00570CA7"/>
    <w:rsid w:val="00571174"/>
    <w:rsid w:val="00572AC1"/>
    <w:rsid w:val="005748CB"/>
    <w:rsid w:val="0057550F"/>
    <w:rsid w:val="005757F1"/>
    <w:rsid w:val="005758C8"/>
    <w:rsid w:val="005760CB"/>
    <w:rsid w:val="00577CF3"/>
    <w:rsid w:val="005817F7"/>
    <w:rsid w:val="005852D0"/>
    <w:rsid w:val="005900B8"/>
    <w:rsid w:val="00590D2B"/>
    <w:rsid w:val="00595A80"/>
    <w:rsid w:val="00595B52"/>
    <w:rsid w:val="00597B1D"/>
    <w:rsid w:val="005A1445"/>
    <w:rsid w:val="005A2CA4"/>
    <w:rsid w:val="005A3D38"/>
    <w:rsid w:val="005A49FF"/>
    <w:rsid w:val="005A5968"/>
    <w:rsid w:val="005A5BB0"/>
    <w:rsid w:val="005A5DA5"/>
    <w:rsid w:val="005B0079"/>
    <w:rsid w:val="005B01C0"/>
    <w:rsid w:val="005B42DC"/>
    <w:rsid w:val="005C392F"/>
    <w:rsid w:val="005C5BCA"/>
    <w:rsid w:val="005C7F72"/>
    <w:rsid w:val="005D321A"/>
    <w:rsid w:val="005E6D43"/>
    <w:rsid w:val="005E7977"/>
    <w:rsid w:val="005F6B00"/>
    <w:rsid w:val="00601163"/>
    <w:rsid w:val="00605F89"/>
    <w:rsid w:val="00610B1D"/>
    <w:rsid w:val="00612137"/>
    <w:rsid w:val="006129E0"/>
    <w:rsid w:val="006139D9"/>
    <w:rsid w:val="00613B36"/>
    <w:rsid w:val="00616950"/>
    <w:rsid w:val="00616A39"/>
    <w:rsid w:val="00617AC9"/>
    <w:rsid w:val="0062652C"/>
    <w:rsid w:val="00626F29"/>
    <w:rsid w:val="00627011"/>
    <w:rsid w:val="006277CC"/>
    <w:rsid w:val="00632DC1"/>
    <w:rsid w:val="006376B5"/>
    <w:rsid w:val="0064260C"/>
    <w:rsid w:val="006428F5"/>
    <w:rsid w:val="006434B4"/>
    <w:rsid w:val="006453E5"/>
    <w:rsid w:val="00650B03"/>
    <w:rsid w:val="00651B36"/>
    <w:rsid w:val="00652956"/>
    <w:rsid w:val="006549E9"/>
    <w:rsid w:val="00660F92"/>
    <w:rsid w:val="0066214A"/>
    <w:rsid w:val="00671012"/>
    <w:rsid w:val="006717AF"/>
    <w:rsid w:val="00672E4A"/>
    <w:rsid w:val="0067300A"/>
    <w:rsid w:val="00675BDE"/>
    <w:rsid w:val="006760FD"/>
    <w:rsid w:val="00676209"/>
    <w:rsid w:val="00676BE9"/>
    <w:rsid w:val="006841EA"/>
    <w:rsid w:val="006847F5"/>
    <w:rsid w:val="00685139"/>
    <w:rsid w:val="0068554D"/>
    <w:rsid w:val="00685866"/>
    <w:rsid w:val="006916D1"/>
    <w:rsid w:val="00695E67"/>
    <w:rsid w:val="006978A9"/>
    <w:rsid w:val="006A0B97"/>
    <w:rsid w:val="006B1EF7"/>
    <w:rsid w:val="006B4FBE"/>
    <w:rsid w:val="006B5BA1"/>
    <w:rsid w:val="006B5F48"/>
    <w:rsid w:val="006B767D"/>
    <w:rsid w:val="006C342B"/>
    <w:rsid w:val="006C3E6B"/>
    <w:rsid w:val="006C415E"/>
    <w:rsid w:val="006C6EF9"/>
    <w:rsid w:val="006D2EF9"/>
    <w:rsid w:val="006D419C"/>
    <w:rsid w:val="006D4293"/>
    <w:rsid w:val="006D62C1"/>
    <w:rsid w:val="006E0FF9"/>
    <w:rsid w:val="006E7270"/>
    <w:rsid w:val="006F1D2B"/>
    <w:rsid w:val="006F31C5"/>
    <w:rsid w:val="006F35CB"/>
    <w:rsid w:val="006F77EB"/>
    <w:rsid w:val="007022B3"/>
    <w:rsid w:val="00703A20"/>
    <w:rsid w:val="00710678"/>
    <w:rsid w:val="00713D42"/>
    <w:rsid w:val="00715C5E"/>
    <w:rsid w:val="007160A9"/>
    <w:rsid w:val="007228BE"/>
    <w:rsid w:val="00724FA4"/>
    <w:rsid w:val="0072652B"/>
    <w:rsid w:val="00730CF7"/>
    <w:rsid w:val="007337D6"/>
    <w:rsid w:val="0073517D"/>
    <w:rsid w:val="00735807"/>
    <w:rsid w:val="00740187"/>
    <w:rsid w:val="0074027F"/>
    <w:rsid w:val="0074241E"/>
    <w:rsid w:val="007430F4"/>
    <w:rsid w:val="007446B7"/>
    <w:rsid w:val="00745B2C"/>
    <w:rsid w:val="00747E4B"/>
    <w:rsid w:val="0075398A"/>
    <w:rsid w:val="00754D26"/>
    <w:rsid w:val="00754F8F"/>
    <w:rsid w:val="00764F04"/>
    <w:rsid w:val="00765AA6"/>
    <w:rsid w:val="00770184"/>
    <w:rsid w:val="00770796"/>
    <w:rsid w:val="00770C6F"/>
    <w:rsid w:val="00770DBB"/>
    <w:rsid w:val="00770F64"/>
    <w:rsid w:val="00771955"/>
    <w:rsid w:val="0077286F"/>
    <w:rsid w:val="00773D23"/>
    <w:rsid w:val="00776425"/>
    <w:rsid w:val="00780A68"/>
    <w:rsid w:val="00780D33"/>
    <w:rsid w:val="0078116F"/>
    <w:rsid w:val="0078262B"/>
    <w:rsid w:val="00782E96"/>
    <w:rsid w:val="00785781"/>
    <w:rsid w:val="00785B2E"/>
    <w:rsid w:val="00790FA7"/>
    <w:rsid w:val="00791678"/>
    <w:rsid w:val="00791D3B"/>
    <w:rsid w:val="0079495B"/>
    <w:rsid w:val="0079659A"/>
    <w:rsid w:val="00797D20"/>
    <w:rsid w:val="007A0915"/>
    <w:rsid w:val="007A1B70"/>
    <w:rsid w:val="007A20B5"/>
    <w:rsid w:val="007B065B"/>
    <w:rsid w:val="007C3F61"/>
    <w:rsid w:val="007C405F"/>
    <w:rsid w:val="007C7CE1"/>
    <w:rsid w:val="007D01EA"/>
    <w:rsid w:val="007D1047"/>
    <w:rsid w:val="007D1214"/>
    <w:rsid w:val="007D3BED"/>
    <w:rsid w:val="007D41C8"/>
    <w:rsid w:val="007D6A53"/>
    <w:rsid w:val="007E3C3B"/>
    <w:rsid w:val="007E6FC2"/>
    <w:rsid w:val="007E7430"/>
    <w:rsid w:val="007E78FA"/>
    <w:rsid w:val="007E795C"/>
    <w:rsid w:val="007F38AD"/>
    <w:rsid w:val="007F4F7B"/>
    <w:rsid w:val="007F7D19"/>
    <w:rsid w:val="008026CD"/>
    <w:rsid w:val="00802B1F"/>
    <w:rsid w:val="008031DD"/>
    <w:rsid w:val="00803EF9"/>
    <w:rsid w:val="00805B05"/>
    <w:rsid w:val="00806747"/>
    <w:rsid w:val="008069BF"/>
    <w:rsid w:val="008106DD"/>
    <w:rsid w:val="008116D4"/>
    <w:rsid w:val="00811C25"/>
    <w:rsid w:val="00812A6C"/>
    <w:rsid w:val="008137B4"/>
    <w:rsid w:val="00814113"/>
    <w:rsid w:val="008204CB"/>
    <w:rsid w:val="00826FC1"/>
    <w:rsid w:val="00832BF2"/>
    <w:rsid w:val="00836793"/>
    <w:rsid w:val="008367F0"/>
    <w:rsid w:val="00837B0B"/>
    <w:rsid w:val="00843A96"/>
    <w:rsid w:val="008473D0"/>
    <w:rsid w:val="0085005C"/>
    <w:rsid w:val="0085193B"/>
    <w:rsid w:val="0085196A"/>
    <w:rsid w:val="00852489"/>
    <w:rsid w:val="008527CA"/>
    <w:rsid w:val="008532BB"/>
    <w:rsid w:val="00853BAB"/>
    <w:rsid w:val="008543C6"/>
    <w:rsid w:val="00854C28"/>
    <w:rsid w:val="00856041"/>
    <w:rsid w:val="008575F7"/>
    <w:rsid w:val="0086646C"/>
    <w:rsid w:val="00872D19"/>
    <w:rsid w:val="0087566D"/>
    <w:rsid w:val="00882B05"/>
    <w:rsid w:val="008850C0"/>
    <w:rsid w:val="00885332"/>
    <w:rsid w:val="00886E24"/>
    <w:rsid w:val="00890398"/>
    <w:rsid w:val="008905D6"/>
    <w:rsid w:val="008918B1"/>
    <w:rsid w:val="0089593C"/>
    <w:rsid w:val="008A05A4"/>
    <w:rsid w:val="008A085B"/>
    <w:rsid w:val="008A3673"/>
    <w:rsid w:val="008A3D75"/>
    <w:rsid w:val="008A5ECE"/>
    <w:rsid w:val="008A72E7"/>
    <w:rsid w:val="008B128A"/>
    <w:rsid w:val="008B30BC"/>
    <w:rsid w:val="008B333D"/>
    <w:rsid w:val="008B47B9"/>
    <w:rsid w:val="008B5AF4"/>
    <w:rsid w:val="008B6367"/>
    <w:rsid w:val="008B63F3"/>
    <w:rsid w:val="008C37CD"/>
    <w:rsid w:val="008C45DB"/>
    <w:rsid w:val="008D25B5"/>
    <w:rsid w:val="008E168A"/>
    <w:rsid w:val="008E2BB5"/>
    <w:rsid w:val="008E39C1"/>
    <w:rsid w:val="008E7942"/>
    <w:rsid w:val="008F13DB"/>
    <w:rsid w:val="008F2414"/>
    <w:rsid w:val="008F425B"/>
    <w:rsid w:val="00900310"/>
    <w:rsid w:val="0090122D"/>
    <w:rsid w:val="00902084"/>
    <w:rsid w:val="0090241B"/>
    <w:rsid w:val="00903757"/>
    <w:rsid w:val="00905138"/>
    <w:rsid w:val="00905C10"/>
    <w:rsid w:val="00907AC0"/>
    <w:rsid w:val="00910A3A"/>
    <w:rsid w:val="00911DC4"/>
    <w:rsid w:val="0091678D"/>
    <w:rsid w:val="00916FD4"/>
    <w:rsid w:val="00922E5C"/>
    <w:rsid w:val="00925F76"/>
    <w:rsid w:val="00930DAD"/>
    <w:rsid w:val="00930F24"/>
    <w:rsid w:val="00932EDA"/>
    <w:rsid w:val="009363B2"/>
    <w:rsid w:val="00937DF5"/>
    <w:rsid w:val="00941FE2"/>
    <w:rsid w:val="009430B0"/>
    <w:rsid w:val="009434DC"/>
    <w:rsid w:val="009443EB"/>
    <w:rsid w:val="009456F3"/>
    <w:rsid w:val="00950167"/>
    <w:rsid w:val="009515A8"/>
    <w:rsid w:val="00953241"/>
    <w:rsid w:val="00953B8F"/>
    <w:rsid w:val="00954F5F"/>
    <w:rsid w:val="00957B12"/>
    <w:rsid w:val="00962898"/>
    <w:rsid w:val="009641A6"/>
    <w:rsid w:val="009655D8"/>
    <w:rsid w:val="00970444"/>
    <w:rsid w:val="00972991"/>
    <w:rsid w:val="00973DDB"/>
    <w:rsid w:val="009755C4"/>
    <w:rsid w:val="00981E0B"/>
    <w:rsid w:val="00983920"/>
    <w:rsid w:val="00987B9E"/>
    <w:rsid w:val="00990883"/>
    <w:rsid w:val="009911A7"/>
    <w:rsid w:val="0099292D"/>
    <w:rsid w:val="00992C9F"/>
    <w:rsid w:val="00992D96"/>
    <w:rsid w:val="00995141"/>
    <w:rsid w:val="00995177"/>
    <w:rsid w:val="00995558"/>
    <w:rsid w:val="009A07C9"/>
    <w:rsid w:val="009A0F42"/>
    <w:rsid w:val="009A51A4"/>
    <w:rsid w:val="009A7957"/>
    <w:rsid w:val="009B196C"/>
    <w:rsid w:val="009C022D"/>
    <w:rsid w:val="009C1286"/>
    <w:rsid w:val="009C4AB4"/>
    <w:rsid w:val="009C50C2"/>
    <w:rsid w:val="009C5ED4"/>
    <w:rsid w:val="009C6296"/>
    <w:rsid w:val="009C7AA7"/>
    <w:rsid w:val="009D1090"/>
    <w:rsid w:val="009D1B50"/>
    <w:rsid w:val="009D2319"/>
    <w:rsid w:val="009D6838"/>
    <w:rsid w:val="009D7033"/>
    <w:rsid w:val="009D71D7"/>
    <w:rsid w:val="009D7358"/>
    <w:rsid w:val="009D7875"/>
    <w:rsid w:val="009E134F"/>
    <w:rsid w:val="009E6DC0"/>
    <w:rsid w:val="009F1E1E"/>
    <w:rsid w:val="009F25F0"/>
    <w:rsid w:val="009F294E"/>
    <w:rsid w:val="009F5A31"/>
    <w:rsid w:val="009F66C0"/>
    <w:rsid w:val="00A00359"/>
    <w:rsid w:val="00A01213"/>
    <w:rsid w:val="00A017A2"/>
    <w:rsid w:val="00A03161"/>
    <w:rsid w:val="00A03C52"/>
    <w:rsid w:val="00A07308"/>
    <w:rsid w:val="00A12648"/>
    <w:rsid w:val="00A1269E"/>
    <w:rsid w:val="00A12E47"/>
    <w:rsid w:val="00A143EB"/>
    <w:rsid w:val="00A16F18"/>
    <w:rsid w:val="00A17D2A"/>
    <w:rsid w:val="00A2014B"/>
    <w:rsid w:val="00A225AF"/>
    <w:rsid w:val="00A22C62"/>
    <w:rsid w:val="00A24183"/>
    <w:rsid w:val="00A25FAF"/>
    <w:rsid w:val="00A318AA"/>
    <w:rsid w:val="00A31924"/>
    <w:rsid w:val="00A31DB3"/>
    <w:rsid w:val="00A3573A"/>
    <w:rsid w:val="00A36B83"/>
    <w:rsid w:val="00A42757"/>
    <w:rsid w:val="00A45B4A"/>
    <w:rsid w:val="00A477FF"/>
    <w:rsid w:val="00A52302"/>
    <w:rsid w:val="00A52BBB"/>
    <w:rsid w:val="00A52CCA"/>
    <w:rsid w:val="00A546BE"/>
    <w:rsid w:val="00A54F6F"/>
    <w:rsid w:val="00A616A2"/>
    <w:rsid w:val="00A6177E"/>
    <w:rsid w:val="00A668E8"/>
    <w:rsid w:val="00A70E7B"/>
    <w:rsid w:val="00A71705"/>
    <w:rsid w:val="00A717E5"/>
    <w:rsid w:val="00A73C25"/>
    <w:rsid w:val="00A7726E"/>
    <w:rsid w:val="00A77FA9"/>
    <w:rsid w:val="00A83177"/>
    <w:rsid w:val="00A862F3"/>
    <w:rsid w:val="00A920D7"/>
    <w:rsid w:val="00A93129"/>
    <w:rsid w:val="00A955E7"/>
    <w:rsid w:val="00AA2109"/>
    <w:rsid w:val="00AA4538"/>
    <w:rsid w:val="00AA5CAD"/>
    <w:rsid w:val="00AA6174"/>
    <w:rsid w:val="00AB03C4"/>
    <w:rsid w:val="00AB405C"/>
    <w:rsid w:val="00AB594F"/>
    <w:rsid w:val="00AB5C41"/>
    <w:rsid w:val="00AC0429"/>
    <w:rsid w:val="00AC3536"/>
    <w:rsid w:val="00AC436E"/>
    <w:rsid w:val="00AC47CB"/>
    <w:rsid w:val="00AC4A77"/>
    <w:rsid w:val="00AC6719"/>
    <w:rsid w:val="00AD4F51"/>
    <w:rsid w:val="00AD5CCB"/>
    <w:rsid w:val="00AE24AF"/>
    <w:rsid w:val="00AE3BA2"/>
    <w:rsid w:val="00AE41BE"/>
    <w:rsid w:val="00AE5CB9"/>
    <w:rsid w:val="00AE759E"/>
    <w:rsid w:val="00AF050C"/>
    <w:rsid w:val="00AF5078"/>
    <w:rsid w:val="00AF5361"/>
    <w:rsid w:val="00AF66EE"/>
    <w:rsid w:val="00AF6A0B"/>
    <w:rsid w:val="00B00D3F"/>
    <w:rsid w:val="00B01AA2"/>
    <w:rsid w:val="00B02B0F"/>
    <w:rsid w:val="00B052DB"/>
    <w:rsid w:val="00B062B0"/>
    <w:rsid w:val="00B06F5F"/>
    <w:rsid w:val="00B07320"/>
    <w:rsid w:val="00B07935"/>
    <w:rsid w:val="00B07CCB"/>
    <w:rsid w:val="00B148FB"/>
    <w:rsid w:val="00B14C10"/>
    <w:rsid w:val="00B16715"/>
    <w:rsid w:val="00B16F67"/>
    <w:rsid w:val="00B20261"/>
    <w:rsid w:val="00B20979"/>
    <w:rsid w:val="00B224EB"/>
    <w:rsid w:val="00B23AA0"/>
    <w:rsid w:val="00B243A7"/>
    <w:rsid w:val="00B24FCD"/>
    <w:rsid w:val="00B25152"/>
    <w:rsid w:val="00B2718D"/>
    <w:rsid w:val="00B27C82"/>
    <w:rsid w:val="00B3028A"/>
    <w:rsid w:val="00B3406C"/>
    <w:rsid w:val="00B36610"/>
    <w:rsid w:val="00B37D2E"/>
    <w:rsid w:val="00B42E98"/>
    <w:rsid w:val="00B4309B"/>
    <w:rsid w:val="00B440AE"/>
    <w:rsid w:val="00B5136E"/>
    <w:rsid w:val="00B51A89"/>
    <w:rsid w:val="00B53226"/>
    <w:rsid w:val="00B5448D"/>
    <w:rsid w:val="00B555B0"/>
    <w:rsid w:val="00B55B51"/>
    <w:rsid w:val="00B567A1"/>
    <w:rsid w:val="00B57C04"/>
    <w:rsid w:val="00B602C1"/>
    <w:rsid w:val="00B64663"/>
    <w:rsid w:val="00B65617"/>
    <w:rsid w:val="00B6651A"/>
    <w:rsid w:val="00B7120E"/>
    <w:rsid w:val="00B72181"/>
    <w:rsid w:val="00B7407C"/>
    <w:rsid w:val="00B744D4"/>
    <w:rsid w:val="00B81046"/>
    <w:rsid w:val="00B8355D"/>
    <w:rsid w:val="00B87E5F"/>
    <w:rsid w:val="00B91217"/>
    <w:rsid w:val="00B93F3B"/>
    <w:rsid w:val="00BA2A77"/>
    <w:rsid w:val="00BA2C39"/>
    <w:rsid w:val="00BA5456"/>
    <w:rsid w:val="00BA66D2"/>
    <w:rsid w:val="00BB123A"/>
    <w:rsid w:val="00BB2991"/>
    <w:rsid w:val="00BB3136"/>
    <w:rsid w:val="00BB3F22"/>
    <w:rsid w:val="00BB4C19"/>
    <w:rsid w:val="00BB7813"/>
    <w:rsid w:val="00BB7902"/>
    <w:rsid w:val="00BC162F"/>
    <w:rsid w:val="00BC3ADE"/>
    <w:rsid w:val="00BC3EF7"/>
    <w:rsid w:val="00BC411E"/>
    <w:rsid w:val="00BC4580"/>
    <w:rsid w:val="00BC64C6"/>
    <w:rsid w:val="00BC736E"/>
    <w:rsid w:val="00BC7EF8"/>
    <w:rsid w:val="00BD0D50"/>
    <w:rsid w:val="00BD1CF9"/>
    <w:rsid w:val="00BE0F99"/>
    <w:rsid w:val="00BE25C7"/>
    <w:rsid w:val="00BE55BE"/>
    <w:rsid w:val="00BE6E0E"/>
    <w:rsid w:val="00BF0064"/>
    <w:rsid w:val="00BF1CAD"/>
    <w:rsid w:val="00BF23B7"/>
    <w:rsid w:val="00C02CC4"/>
    <w:rsid w:val="00C037AF"/>
    <w:rsid w:val="00C06231"/>
    <w:rsid w:val="00C0643E"/>
    <w:rsid w:val="00C066D9"/>
    <w:rsid w:val="00C10A6C"/>
    <w:rsid w:val="00C12449"/>
    <w:rsid w:val="00C125EF"/>
    <w:rsid w:val="00C17B5B"/>
    <w:rsid w:val="00C17D13"/>
    <w:rsid w:val="00C202CF"/>
    <w:rsid w:val="00C23A74"/>
    <w:rsid w:val="00C23E8B"/>
    <w:rsid w:val="00C24ED6"/>
    <w:rsid w:val="00C2765D"/>
    <w:rsid w:val="00C334AE"/>
    <w:rsid w:val="00C34FAD"/>
    <w:rsid w:val="00C41428"/>
    <w:rsid w:val="00C4210F"/>
    <w:rsid w:val="00C42356"/>
    <w:rsid w:val="00C4644D"/>
    <w:rsid w:val="00C46577"/>
    <w:rsid w:val="00C51936"/>
    <w:rsid w:val="00C561AC"/>
    <w:rsid w:val="00C5636D"/>
    <w:rsid w:val="00C571E9"/>
    <w:rsid w:val="00C64769"/>
    <w:rsid w:val="00C672B5"/>
    <w:rsid w:val="00C70603"/>
    <w:rsid w:val="00C708F1"/>
    <w:rsid w:val="00C75CAB"/>
    <w:rsid w:val="00C76568"/>
    <w:rsid w:val="00C76714"/>
    <w:rsid w:val="00C85950"/>
    <w:rsid w:val="00C87BF1"/>
    <w:rsid w:val="00C90F6D"/>
    <w:rsid w:val="00C92ECF"/>
    <w:rsid w:val="00C92EE6"/>
    <w:rsid w:val="00C9450E"/>
    <w:rsid w:val="00C97BDC"/>
    <w:rsid w:val="00C97C94"/>
    <w:rsid w:val="00CA2995"/>
    <w:rsid w:val="00CA5A96"/>
    <w:rsid w:val="00CA65E4"/>
    <w:rsid w:val="00CA6814"/>
    <w:rsid w:val="00CA6D89"/>
    <w:rsid w:val="00CB1E55"/>
    <w:rsid w:val="00CB299E"/>
    <w:rsid w:val="00CB2D95"/>
    <w:rsid w:val="00CB3987"/>
    <w:rsid w:val="00CB53E3"/>
    <w:rsid w:val="00CB5DD6"/>
    <w:rsid w:val="00CB7AAB"/>
    <w:rsid w:val="00CC1CEE"/>
    <w:rsid w:val="00CC3B77"/>
    <w:rsid w:val="00CC5508"/>
    <w:rsid w:val="00CC6DC8"/>
    <w:rsid w:val="00CD0B55"/>
    <w:rsid w:val="00CE0D76"/>
    <w:rsid w:val="00CE712B"/>
    <w:rsid w:val="00CF0EF6"/>
    <w:rsid w:val="00CF53CD"/>
    <w:rsid w:val="00D027A2"/>
    <w:rsid w:val="00D02E1C"/>
    <w:rsid w:val="00D04984"/>
    <w:rsid w:val="00D05907"/>
    <w:rsid w:val="00D07287"/>
    <w:rsid w:val="00D11FD9"/>
    <w:rsid w:val="00D1382C"/>
    <w:rsid w:val="00D1786C"/>
    <w:rsid w:val="00D17F19"/>
    <w:rsid w:val="00D20FEA"/>
    <w:rsid w:val="00D21BE1"/>
    <w:rsid w:val="00D24C3A"/>
    <w:rsid w:val="00D268EB"/>
    <w:rsid w:val="00D27802"/>
    <w:rsid w:val="00D3038D"/>
    <w:rsid w:val="00D34F6F"/>
    <w:rsid w:val="00D42338"/>
    <w:rsid w:val="00D429DB"/>
    <w:rsid w:val="00D460A4"/>
    <w:rsid w:val="00D46B5A"/>
    <w:rsid w:val="00D5033B"/>
    <w:rsid w:val="00D508B7"/>
    <w:rsid w:val="00D52E5B"/>
    <w:rsid w:val="00D56DBD"/>
    <w:rsid w:val="00D571C5"/>
    <w:rsid w:val="00D675CD"/>
    <w:rsid w:val="00D70DF6"/>
    <w:rsid w:val="00D7426B"/>
    <w:rsid w:val="00D7506E"/>
    <w:rsid w:val="00D76DA2"/>
    <w:rsid w:val="00D804EF"/>
    <w:rsid w:val="00D82F76"/>
    <w:rsid w:val="00D84798"/>
    <w:rsid w:val="00D84D8A"/>
    <w:rsid w:val="00D85C7B"/>
    <w:rsid w:val="00D92269"/>
    <w:rsid w:val="00D96200"/>
    <w:rsid w:val="00DA0E82"/>
    <w:rsid w:val="00DA3B8D"/>
    <w:rsid w:val="00DA50F2"/>
    <w:rsid w:val="00DA5777"/>
    <w:rsid w:val="00DA732B"/>
    <w:rsid w:val="00DA7E91"/>
    <w:rsid w:val="00DB295D"/>
    <w:rsid w:val="00DB43BF"/>
    <w:rsid w:val="00DB4449"/>
    <w:rsid w:val="00DB4E97"/>
    <w:rsid w:val="00DC2348"/>
    <w:rsid w:val="00DC52E8"/>
    <w:rsid w:val="00DD0A84"/>
    <w:rsid w:val="00DD2162"/>
    <w:rsid w:val="00DD39D1"/>
    <w:rsid w:val="00DD4730"/>
    <w:rsid w:val="00DD51B4"/>
    <w:rsid w:val="00DD5447"/>
    <w:rsid w:val="00DD586B"/>
    <w:rsid w:val="00DD5C5B"/>
    <w:rsid w:val="00DE3B90"/>
    <w:rsid w:val="00DE6289"/>
    <w:rsid w:val="00DF367A"/>
    <w:rsid w:val="00DF483E"/>
    <w:rsid w:val="00DF6A5E"/>
    <w:rsid w:val="00DF6D93"/>
    <w:rsid w:val="00E05526"/>
    <w:rsid w:val="00E058FD"/>
    <w:rsid w:val="00E1523B"/>
    <w:rsid w:val="00E153A1"/>
    <w:rsid w:val="00E175AC"/>
    <w:rsid w:val="00E17FBC"/>
    <w:rsid w:val="00E26C1C"/>
    <w:rsid w:val="00E27204"/>
    <w:rsid w:val="00E31477"/>
    <w:rsid w:val="00E377B3"/>
    <w:rsid w:val="00E3788F"/>
    <w:rsid w:val="00E41EB5"/>
    <w:rsid w:val="00E425D3"/>
    <w:rsid w:val="00E42767"/>
    <w:rsid w:val="00E468C9"/>
    <w:rsid w:val="00E4787D"/>
    <w:rsid w:val="00E5039F"/>
    <w:rsid w:val="00E5089E"/>
    <w:rsid w:val="00E514EE"/>
    <w:rsid w:val="00E5691C"/>
    <w:rsid w:val="00E6207C"/>
    <w:rsid w:val="00E64723"/>
    <w:rsid w:val="00E6697F"/>
    <w:rsid w:val="00E713EE"/>
    <w:rsid w:val="00E72131"/>
    <w:rsid w:val="00E75C9D"/>
    <w:rsid w:val="00E7613E"/>
    <w:rsid w:val="00E949F4"/>
    <w:rsid w:val="00E97ABD"/>
    <w:rsid w:val="00EA54A3"/>
    <w:rsid w:val="00EB2602"/>
    <w:rsid w:val="00EB76F4"/>
    <w:rsid w:val="00EC0734"/>
    <w:rsid w:val="00EC43BA"/>
    <w:rsid w:val="00EC4C63"/>
    <w:rsid w:val="00EC4D05"/>
    <w:rsid w:val="00EC520A"/>
    <w:rsid w:val="00EC53A7"/>
    <w:rsid w:val="00EC54E1"/>
    <w:rsid w:val="00EC5578"/>
    <w:rsid w:val="00ED0978"/>
    <w:rsid w:val="00ED18B9"/>
    <w:rsid w:val="00ED1AD7"/>
    <w:rsid w:val="00ED4546"/>
    <w:rsid w:val="00ED4E2E"/>
    <w:rsid w:val="00ED5B8D"/>
    <w:rsid w:val="00EE0CC0"/>
    <w:rsid w:val="00EE1BFE"/>
    <w:rsid w:val="00EE35E2"/>
    <w:rsid w:val="00EE4C46"/>
    <w:rsid w:val="00EE51E7"/>
    <w:rsid w:val="00EE7E6A"/>
    <w:rsid w:val="00EF1124"/>
    <w:rsid w:val="00EF1765"/>
    <w:rsid w:val="00EF240D"/>
    <w:rsid w:val="00EF33C8"/>
    <w:rsid w:val="00F00D79"/>
    <w:rsid w:val="00F02E9B"/>
    <w:rsid w:val="00F03333"/>
    <w:rsid w:val="00F056AF"/>
    <w:rsid w:val="00F115A2"/>
    <w:rsid w:val="00F16F0E"/>
    <w:rsid w:val="00F250A1"/>
    <w:rsid w:val="00F25F58"/>
    <w:rsid w:val="00F35E3B"/>
    <w:rsid w:val="00F37FF5"/>
    <w:rsid w:val="00F40315"/>
    <w:rsid w:val="00F465C4"/>
    <w:rsid w:val="00F465D4"/>
    <w:rsid w:val="00F46D4B"/>
    <w:rsid w:val="00F46F32"/>
    <w:rsid w:val="00F52FC6"/>
    <w:rsid w:val="00F574D6"/>
    <w:rsid w:val="00F627DD"/>
    <w:rsid w:val="00F67D4C"/>
    <w:rsid w:val="00F71E6A"/>
    <w:rsid w:val="00F72EA7"/>
    <w:rsid w:val="00F81C7A"/>
    <w:rsid w:val="00F83618"/>
    <w:rsid w:val="00F86897"/>
    <w:rsid w:val="00F966E7"/>
    <w:rsid w:val="00FA2557"/>
    <w:rsid w:val="00FA71D3"/>
    <w:rsid w:val="00FA7365"/>
    <w:rsid w:val="00FA7721"/>
    <w:rsid w:val="00FA7C47"/>
    <w:rsid w:val="00FB396B"/>
    <w:rsid w:val="00FC04FB"/>
    <w:rsid w:val="00FC3B00"/>
    <w:rsid w:val="00FC67C4"/>
    <w:rsid w:val="00FC6DA5"/>
    <w:rsid w:val="00FD110A"/>
    <w:rsid w:val="00FD5248"/>
    <w:rsid w:val="00FE0330"/>
    <w:rsid w:val="00FE36BF"/>
    <w:rsid w:val="00FE5BEC"/>
    <w:rsid w:val="010811C4"/>
    <w:rsid w:val="01510A39"/>
    <w:rsid w:val="02584601"/>
    <w:rsid w:val="03016292"/>
    <w:rsid w:val="033365C7"/>
    <w:rsid w:val="045556A5"/>
    <w:rsid w:val="058034D0"/>
    <w:rsid w:val="05E03D0C"/>
    <w:rsid w:val="061E4834"/>
    <w:rsid w:val="066071A5"/>
    <w:rsid w:val="07A1396F"/>
    <w:rsid w:val="08935065"/>
    <w:rsid w:val="09B5725D"/>
    <w:rsid w:val="0A542A00"/>
    <w:rsid w:val="0AAC240E"/>
    <w:rsid w:val="0B2467B8"/>
    <w:rsid w:val="0B3D39AE"/>
    <w:rsid w:val="0B7F7B23"/>
    <w:rsid w:val="0BF24799"/>
    <w:rsid w:val="0C384CD2"/>
    <w:rsid w:val="0F0232AF"/>
    <w:rsid w:val="0F24110D"/>
    <w:rsid w:val="0F9A1D90"/>
    <w:rsid w:val="10090303"/>
    <w:rsid w:val="11280D37"/>
    <w:rsid w:val="114A2A50"/>
    <w:rsid w:val="121E62E8"/>
    <w:rsid w:val="122D5442"/>
    <w:rsid w:val="123A29F6"/>
    <w:rsid w:val="12EF3DD6"/>
    <w:rsid w:val="136441CE"/>
    <w:rsid w:val="137268BD"/>
    <w:rsid w:val="13726DF1"/>
    <w:rsid w:val="13D6541C"/>
    <w:rsid w:val="144B7D94"/>
    <w:rsid w:val="147E12BF"/>
    <w:rsid w:val="14EE3058"/>
    <w:rsid w:val="15177F3A"/>
    <w:rsid w:val="152F25BA"/>
    <w:rsid w:val="155E69FB"/>
    <w:rsid w:val="1629525B"/>
    <w:rsid w:val="1744303C"/>
    <w:rsid w:val="17C23271"/>
    <w:rsid w:val="17F56EDE"/>
    <w:rsid w:val="18BA0A37"/>
    <w:rsid w:val="18E611E1"/>
    <w:rsid w:val="1912647A"/>
    <w:rsid w:val="191F1353"/>
    <w:rsid w:val="191F54EE"/>
    <w:rsid w:val="19AC2F5A"/>
    <w:rsid w:val="1A0C09A3"/>
    <w:rsid w:val="1A1A47D1"/>
    <w:rsid w:val="1A522E26"/>
    <w:rsid w:val="1AF416CC"/>
    <w:rsid w:val="1BBC26CD"/>
    <w:rsid w:val="1BC97744"/>
    <w:rsid w:val="1BCD6AE7"/>
    <w:rsid w:val="1C182135"/>
    <w:rsid w:val="1C2D2A5D"/>
    <w:rsid w:val="1CA46214"/>
    <w:rsid w:val="1CFC0FD3"/>
    <w:rsid w:val="1DFF5310"/>
    <w:rsid w:val="1E2B5570"/>
    <w:rsid w:val="1E2F362A"/>
    <w:rsid w:val="1F15637C"/>
    <w:rsid w:val="1F1B761D"/>
    <w:rsid w:val="1F2E287D"/>
    <w:rsid w:val="1F3A483C"/>
    <w:rsid w:val="1F40172B"/>
    <w:rsid w:val="1F930BDA"/>
    <w:rsid w:val="1F9574BD"/>
    <w:rsid w:val="1FA47E80"/>
    <w:rsid w:val="1FA6165C"/>
    <w:rsid w:val="1FE558F6"/>
    <w:rsid w:val="207E43F5"/>
    <w:rsid w:val="2105039F"/>
    <w:rsid w:val="213C22E6"/>
    <w:rsid w:val="228A72DA"/>
    <w:rsid w:val="22A53EBB"/>
    <w:rsid w:val="238B4E5F"/>
    <w:rsid w:val="23C465C3"/>
    <w:rsid w:val="23F25A09"/>
    <w:rsid w:val="247578DE"/>
    <w:rsid w:val="247E6772"/>
    <w:rsid w:val="25DC7BF4"/>
    <w:rsid w:val="25FA69A3"/>
    <w:rsid w:val="262B2929"/>
    <w:rsid w:val="26A02529"/>
    <w:rsid w:val="26B506EE"/>
    <w:rsid w:val="273D2914"/>
    <w:rsid w:val="27A25D8E"/>
    <w:rsid w:val="27D52B4D"/>
    <w:rsid w:val="27EB6814"/>
    <w:rsid w:val="28642123"/>
    <w:rsid w:val="28777BF4"/>
    <w:rsid w:val="28862099"/>
    <w:rsid w:val="29127DD1"/>
    <w:rsid w:val="29837BE6"/>
    <w:rsid w:val="2A403DF7"/>
    <w:rsid w:val="2B2D4A4E"/>
    <w:rsid w:val="2B887E8F"/>
    <w:rsid w:val="2B990335"/>
    <w:rsid w:val="2BD66F2D"/>
    <w:rsid w:val="2BF13CCD"/>
    <w:rsid w:val="2C527E4A"/>
    <w:rsid w:val="2C7072E8"/>
    <w:rsid w:val="2D085772"/>
    <w:rsid w:val="2D151C3D"/>
    <w:rsid w:val="2D2D6F87"/>
    <w:rsid w:val="2F1E0F22"/>
    <w:rsid w:val="2F823A85"/>
    <w:rsid w:val="2FD91648"/>
    <w:rsid w:val="30BE2F56"/>
    <w:rsid w:val="33DF6B01"/>
    <w:rsid w:val="33F627C9"/>
    <w:rsid w:val="34313D2C"/>
    <w:rsid w:val="34A26247"/>
    <w:rsid w:val="34BC67D7"/>
    <w:rsid w:val="34D04986"/>
    <w:rsid w:val="34E16FD5"/>
    <w:rsid w:val="35496928"/>
    <w:rsid w:val="35DF0B77"/>
    <w:rsid w:val="3701698B"/>
    <w:rsid w:val="37790646"/>
    <w:rsid w:val="38433B03"/>
    <w:rsid w:val="38C3655B"/>
    <w:rsid w:val="39203E44"/>
    <w:rsid w:val="3AD936A1"/>
    <w:rsid w:val="3AE8273F"/>
    <w:rsid w:val="3B7D1998"/>
    <w:rsid w:val="3B8B56B5"/>
    <w:rsid w:val="3BDF3B42"/>
    <w:rsid w:val="3C756255"/>
    <w:rsid w:val="3C881AAA"/>
    <w:rsid w:val="3C990801"/>
    <w:rsid w:val="3DAA47D2"/>
    <w:rsid w:val="3DF123FF"/>
    <w:rsid w:val="3E1E128E"/>
    <w:rsid w:val="3F853907"/>
    <w:rsid w:val="3FFE185D"/>
    <w:rsid w:val="403B1563"/>
    <w:rsid w:val="40FE6E4A"/>
    <w:rsid w:val="42075459"/>
    <w:rsid w:val="426621C4"/>
    <w:rsid w:val="43AD2A6B"/>
    <w:rsid w:val="44042299"/>
    <w:rsid w:val="449000D0"/>
    <w:rsid w:val="44A2460A"/>
    <w:rsid w:val="45173602"/>
    <w:rsid w:val="458539AC"/>
    <w:rsid w:val="458C7954"/>
    <w:rsid w:val="45A51959"/>
    <w:rsid w:val="45F11042"/>
    <w:rsid w:val="45F147B5"/>
    <w:rsid w:val="46B34549"/>
    <w:rsid w:val="47290367"/>
    <w:rsid w:val="472D7E58"/>
    <w:rsid w:val="47953C4F"/>
    <w:rsid w:val="47977365"/>
    <w:rsid w:val="47AA14A8"/>
    <w:rsid w:val="49172B6D"/>
    <w:rsid w:val="49184B37"/>
    <w:rsid w:val="49BF6D61"/>
    <w:rsid w:val="4A3C6604"/>
    <w:rsid w:val="4AD54A8E"/>
    <w:rsid w:val="4B105AC6"/>
    <w:rsid w:val="4B8E2E8F"/>
    <w:rsid w:val="4B9761E7"/>
    <w:rsid w:val="4C202DB8"/>
    <w:rsid w:val="4C53077D"/>
    <w:rsid w:val="4C7E695A"/>
    <w:rsid w:val="4D043409"/>
    <w:rsid w:val="4D232413"/>
    <w:rsid w:val="4D882D6A"/>
    <w:rsid w:val="4D9775E9"/>
    <w:rsid w:val="4E270E54"/>
    <w:rsid w:val="4EDF0F9F"/>
    <w:rsid w:val="4EF95E37"/>
    <w:rsid w:val="503264DF"/>
    <w:rsid w:val="507B7E86"/>
    <w:rsid w:val="50965A49"/>
    <w:rsid w:val="51025EB1"/>
    <w:rsid w:val="511A0733"/>
    <w:rsid w:val="51712933"/>
    <w:rsid w:val="51835FE1"/>
    <w:rsid w:val="525A6314"/>
    <w:rsid w:val="528B5CE5"/>
    <w:rsid w:val="528E5230"/>
    <w:rsid w:val="53E73A84"/>
    <w:rsid w:val="54602C8F"/>
    <w:rsid w:val="546A57B7"/>
    <w:rsid w:val="55344AA7"/>
    <w:rsid w:val="554622F4"/>
    <w:rsid w:val="55DC1C16"/>
    <w:rsid w:val="566077FB"/>
    <w:rsid w:val="56951575"/>
    <w:rsid w:val="56CC500A"/>
    <w:rsid w:val="56E147BB"/>
    <w:rsid w:val="57CB2DF5"/>
    <w:rsid w:val="586321FD"/>
    <w:rsid w:val="59BF06D2"/>
    <w:rsid w:val="5A0329AD"/>
    <w:rsid w:val="5AAB3234"/>
    <w:rsid w:val="5ABF3451"/>
    <w:rsid w:val="5AC81FAD"/>
    <w:rsid w:val="5B6F45BF"/>
    <w:rsid w:val="5B7025B1"/>
    <w:rsid w:val="5C5D48E3"/>
    <w:rsid w:val="5C7622AA"/>
    <w:rsid w:val="5C78171D"/>
    <w:rsid w:val="5D30585D"/>
    <w:rsid w:val="5DBF6738"/>
    <w:rsid w:val="5E14388B"/>
    <w:rsid w:val="5E370EEC"/>
    <w:rsid w:val="5E547699"/>
    <w:rsid w:val="5E68756F"/>
    <w:rsid w:val="5E837C93"/>
    <w:rsid w:val="5E8C325E"/>
    <w:rsid w:val="5E953BF9"/>
    <w:rsid w:val="5F9C7C43"/>
    <w:rsid w:val="5FAF36A8"/>
    <w:rsid w:val="5FB8547F"/>
    <w:rsid w:val="60C05441"/>
    <w:rsid w:val="611D6D37"/>
    <w:rsid w:val="617050B9"/>
    <w:rsid w:val="622C5484"/>
    <w:rsid w:val="63172813"/>
    <w:rsid w:val="63861381"/>
    <w:rsid w:val="63E678B4"/>
    <w:rsid w:val="64FE478A"/>
    <w:rsid w:val="65295866"/>
    <w:rsid w:val="65705687"/>
    <w:rsid w:val="65A74E21"/>
    <w:rsid w:val="65C46E98"/>
    <w:rsid w:val="665755E5"/>
    <w:rsid w:val="66794A10"/>
    <w:rsid w:val="671D539B"/>
    <w:rsid w:val="67C93707"/>
    <w:rsid w:val="688E6C63"/>
    <w:rsid w:val="68FF7F45"/>
    <w:rsid w:val="69BF098B"/>
    <w:rsid w:val="6A184540"/>
    <w:rsid w:val="6A310411"/>
    <w:rsid w:val="6A3A0B74"/>
    <w:rsid w:val="6A8A71EB"/>
    <w:rsid w:val="6A944EE1"/>
    <w:rsid w:val="6A985AB9"/>
    <w:rsid w:val="6AE01FA6"/>
    <w:rsid w:val="6C2C42D2"/>
    <w:rsid w:val="6D4318EA"/>
    <w:rsid w:val="6D491D7F"/>
    <w:rsid w:val="6D642C33"/>
    <w:rsid w:val="6E4E0530"/>
    <w:rsid w:val="6E71483D"/>
    <w:rsid w:val="6F651FD5"/>
    <w:rsid w:val="6F9E54E7"/>
    <w:rsid w:val="6FAF16C2"/>
    <w:rsid w:val="73133AF6"/>
    <w:rsid w:val="73AB7D4A"/>
    <w:rsid w:val="763C15B6"/>
    <w:rsid w:val="765608C9"/>
    <w:rsid w:val="766F7295"/>
    <w:rsid w:val="76827C0C"/>
    <w:rsid w:val="76832D41"/>
    <w:rsid w:val="775F12C1"/>
    <w:rsid w:val="778A0C6D"/>
    <w:rsid w:val="78580A64"/>
    <w:rsid w:val="78A331BB"/>
    <w:rsid w:val="78A855C2"/>
    <w:rsid w:val="79652BD2"/>
    <w:rsid w:val="799B65F3"/>
    <w:rsid w:val="79BF5D48"/>
    <w:rsid w:val="7AC81627"/>
    <w:rsid w:val="7C322CAF"/>
    <w:rsid w:val="7C6A000F"/>
    <w:rsid w:val="7D705A6D"/>
    <w:rsid w:val="7DB34CED"/>
    <w:rsid w:val="7E59139E"/>
    <w:rsid w:val="7EB34D96"/>
    <w:rsid w:val="7EBB501E"/>
    <w:rsid w:val="7F233F5F"/>
    <w:rsid w:val="7F5D743D"/>
    <w:rsid w:val="7FA51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B4E0F0"/>
  <w15:docId w15:val="{E8CEB9D9-8EAC-4C0A-91B7-33CFC80DA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annotation text" w:qFormat="1"/>
    <w:lsdException w:name="header" w:uiPriority="99"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TOC2"/>
    <w:uiPriority w:val="1"/>
    <w:qFormat/>
    <w:pPr>
      <w:widowControl w:val="0"/>
      <w:autoSpaceDE w:val="0"/>
      <w:autoSpaceDN w:val="0"/>
    </w:pPr>
    <w:rPr>
      <w:rFonts w:ascii="宋体" w:hAnsi="宋体" w:cs="宋体"/>
      <w:sz w:val="22"/>
      <w:szCs w:val="22"/>
      <w:lang w:val="zh-CN" w:bidi="zh-CN"/>
    </w:rPr>
  </w:style>
  <w:style w:type="paragraph" w:styleId="2">
    <w:name w:val="heading 2"/>
    <w:basedOn w:val="a"/>
    <w:next w:val="a"/>
    <w:unhideWhenUsed/>
    <w:qFormat/>
    <w:pPr>
      <w:keepNext/>
      <w:keepLines/>
      <w:adjustRightInd w:val="0"/>
      <w:snapToGrid w:val="0"/>
      <w:spacing w:beforeLines="50" w:before="50" w:afterLines="50" w:after="50"/>
      <w:outlineLvl w:val="1"/>
    </w:pPr>
    <w:rPr>
      <w:rFonts w:ascii="Arial" w:hAnsi="Arial"/>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2">
    <w:name w:val="toc 2"/>
    <w:basedOn w:val="a"/>
    <w:next w:val="a"/>
    <w:qFormat/>
    <w:pPr>
      <w:ind w:leftChars="200" w:left="420"/>
    </w:pPr>
  </w:style>
  <w:style w:type="paragraph" w:styleId="a3">
    <w:name w:val="annotation text"/>
    <w:basedOn w:val="a"/>
    <w:link w:val="a4"/>
    <w:qFormat/>
  </w:style>
  <w:style w:type="paragraph" w:styleId="a5">
    <w:name w:val="Body Text"/>
    <w:basedOn w:val="a"/>
    <w:uiPriority w:val="1"/>
    <w:qFormat/>
    <w:pPr>
      <w:spacing w:before="9"/>
    </w:pPr>
    <w:rPr>
      <w:b/>
      <w:bCs/>
      <w:sz w:val="28"/>
      <w:szCs w:val="28"/>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pPr>
    <w:rPr>
      <w:sz w:val="18"/>
    </w:rPr>
  </w:style>
  <w:style w:type="paragraph" w:styleId="a9">
    <w:name w:val="header"/>
    <w:basedOn w:val="a"/>
    <w:link w:val="aa"/>
    <w:uiPriority w:val="99"/>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pPr>
    <w:rPr>
      <w:rFonts w:cs="Times New Roman"/>
      <w:sz w:val="24"/>
      <w:lang w:val="en-US" w:bidi="ar-SA"/>
    </w:rPr>
  </w:style>
  <w:style w:type="paragraph" w:styleId="ac">
    <w:name w:val="annotation subject"/>
    <w:basedOn w:val="a3"/>
    <w:next w:val="a3"/>
    <w:link w:val="ad"/>
    <w:qFormat/>
    <w:rPr>
      <w:b/>
      <w:bCs/>
    </w:rPr>
  </w:style>
  <w:style w:type="table" w:styleId="a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qFormat/>
    <w:rPr>
      <w:sz w:val="21"/>
      <w:szCs w:val="21"/>
    </w:rPr>
  </w:style>
  <w:style w:type="paragraph" w:customStyle="1" w:styleId="TableParagraph">
    <w:name w:val="Table Paragraph"/>
    <w:basedOn w:val="a"/>
    <w:uiPriority w:val="1"/>
    <w:qFormat/>
    <w:pPr>
      <w:spacing w:before="22"/>
    </w:pPr>
  </w:style>
  <w:style w:type="paragraph" w:styleId="af0">
    <w:name w:val="List Paragraph"/>
    <w:basedOn w:val="a"/>
    <w:uiPriority w:val="1"/>
    <w:qFormat/>
  </w:style>
  <w:style w:type="table" w:customStyle="1" w:styleId="TableNormal">
    <w:name w:val="Table Normal"/>
    <w:uiPriority w:val="2"/>
    <w:unhideWhenUsed/>
    <w:qFormat/>
    <w:tblPr>
      <w:tblCellMar>
        <w:top w:w="0" w:type="dxa"/>
        <w:left w:w="0" w:type="dxa"/>
        <w:bottom w:w="0" w:type="dxa"/>
        <w:right w:w="0" w:type="dxa"/>
      </w:tblCellMar>
    </w:tblPr>
  </w:style>
  <w:style w:type="character" w:customStyle="1" w:styleId="aa">
    <w:name w:val="页眉 字符"/>
    <w:basedOn w:val="a0"/>
    <w:link w:val="a9"/>
    <w:uiPriority w:val="99"/>
    <w:qFormat/>
    <w:rPr>
      <w:rFonts w:ascii="宋体" w:hAnsi="宋体" w:cs="宋体"/>
      <w:sz w:val="18"/>
      <w:szCs w:val="18"/>
      <w:lang w:val="zh-CN" w:bidi="zh-CN"/>
    </w:rPr>
  </w:style>
  <w:style w:type="paragraph" w:customStyle="1" w:styleId="1">
    <w:name w:val="修订1"/>
    <w:hidden/>
    <w:uiPriority w:val="99"/>
    <w:semiHidden/>
    <w:qFormat/>
    <w:rPr>
      <w:rFonts w:ascii="宋体" w:hAnsi="宋体" w:cs="宋体"/>
      <w:sz w:val="22"/>
      <w:szCs w:val="22"/>
      <w:lang w:val="zh-CN" w:bidi="zh-CN"/>
    </w:rPr>
  </w:style>
  <w:style w:type="character" w:customStyle="1" w:styleId="a4">
    <w:name w:val="批注文字 字符"/>
    <w:basedOn w:val="a0"/>
    <w:link w:val="a3"/>
    <w:qFormat/>
    <w:rPr>
      <w:rFonts w:ascii="宋体" w:hAnsi="宋体" w:cs="宋体"/>
      <w:sz w:val="22"/>
      <w:szCs w:val="22"/>
      <w:lang w:val="zh-CN" w:bidi="zh-CN"/>
    </w:rPr>
  </w:style>
  <w:style w:type="character" w:customStyle="1" w:styleId="ad">
    <w:name w:val="批注主题 字符"/>
    <w:basedOn w:val="a4"/>
    <w:link w:val="ac"/>
    <w:qFormat/>
    <w:rPr>
      <w:rFonts w:ascii="宋体" w:hAnsi="宋体" w:cs="宋体"/>
      <w:b/>
      <w:bCs/>
      <w:sz w:val="22"/>
      <w:szCs w:val="22"/>
      <w:lang w:val="zh-CN" w:bidi="zh-CN"/>
    </w:rPr>
  </w:style>
  <w:style w:type="character" w:customStyle="1" w:styleId="a7">
    <w:name w:val="批注框文本 字符"/>
    <w:basedOn w:val="a0"/>
    <w:link w:val="a6"/>
    <w:qFormat/>
    <w:rPr>
      <w:rFonts w:ascii="宋体" w:hAnsi="宋体" w:cs="宋体"/>
      <w:sz w:val="18"/>
      <w:szCs w:val="18"/>
      <w:lang w:val="zh-CN" w:bidi="zh-CN"/>
    </w:rPr>
  </w:style>
  <w:style w:type="paragraph" w:customStyle="1" w:styleId="20">
    <w:name w:val="修订2"/>
    <w:hidden/>
    <w:uiPriority w:val="99"/>
    <w:semiHidden/>
    <w:qFormat/>
    <w:rPr>
      <w:rFonts w:ascii="宋体" w:hAnsi="宋体" w:cs="宋体"/>
      <w:sz w:val="22"/>
      <w:szCs w:val="22"/>
      <w:lang w:val="zh-CN" w:bidi="zh-CN"/>
    </w:rPr>
  </w:style>
  <w:style w:type="paragraph" w:customStyle="1" w:styleId="3">
    <w:name w:val="修订3"/>
    <w:hidden/>
    <w:uiPriority w:val="99"/>
    <w:semiHidden/>
    <w:qFormat/>
    <w:rPr>
      <w:rFonts w:ascii="宋体" w:hAnsi="宋体" w:cs="宋体"/>
      <w:sz w:val="22"/>
      <w:szCs w:val="22"/>
      <w:lang w:val="zh-CN" w:bidi="zh-CN"/>
    </w:rPr>
  </w:style>
  <w:style w:type="paragraph" w:customStyle="1" w:styleId="4">
    <w:name w:val="修订4"/>
    <w:hidden/>
    <w:uiPriority w:val="99"/>
    <w:semiHidden/>
    <w:qFormat/>
    <w:rPr>
      <w:rFonts w:ascii="宋体" w:hAnsi="宋体" w:cs="宋体"/>
      <w:sz w:val="22"/>
      <w:szCs w:val="22"/>
      <w:lang w:val="zh-CN" w:bidi="zh-CN"/>
    </w:rPr>
  </w:style>
  <w:style w:type="paragraph" w:customStyle="1" w:styleId="5">
    <w:name w:val="修订5"/>
    <w:hidden/>
    <w:uiPriority w:val="99"/>
    <w:semiHidden/>
    <w:qFormat/>
    <w:rPr>
      <w:rFonts w:ascii="宋体" w:hAnsi="宋体" w:cs="宋体"/>
      <w:sz w:val="22"/>
      <w:szCs w:val="22"/>
      <w:lang w:val="zh-CN" w:bidi="zh-CN"/>
    </w:rPr>
  </w:style>
  <w:style w:type="paragraph" w:customStyle="1" w:styleId="6">
    <w:name w:val="修订6"/>
    <w:hidden/>
    <w:uiPriority w:val="99"/>
    <w:semiHidden/>
    <w:qFormat/>
    <w:rPr>
      <w:rFonts w:ascii="宋体" w:hAnsi="宋体" w:cs="宋体"/>
      <w:sz w:val="22"/>
      <w:szCs w:val="22"/>
      <w:lang w:val="zh-CN" w:bidi="zh-CN"/>
    </w:rPr>
  </w:style>
  <w:style w:type="paragraph" w:customStyle="1" w:styleId="7">
    <w:name w:val="修订7"/>
    <w:hidden/>
    <w:uiPriority w:val="99"/>
    <w:unhideWhenUsed/>
    <w:qFormat/>
    <w:rPr>
      <w:rFonts w:ascii="宋体" w:hAnsi="宋体" w:cs="宋体"/>
      <w:sz w:val="22"/>
      <w:szCs w:val="22"/>
      <w:lang w:val="zh-CN" w:bidi="zh-CN"/>
    </w:rPr>
  </w:style>
  <w:style w:type="paragraph" w:customStyle="1" w:styleId="8">
    <w:name w:val="修订8"/>
    <w:hidden/>
    <w:uiPriority w:val="99"/>
    <w:unhideWhenUsed/>
    <w:qFormat/>
    <w:rPr>
      <w:rFonts w:ascii="宋体" w:hAnsi="宋体" w:cs="宋体"/>
      <w:sz w:val="22"/>
      <w:szCs w:val="22"/>
      <w:lang w:val="zh-CN" w:bidi="zh-CN"/>
    </w:rPr>
  </w:style>
  <w:style w:type="paragraph" w:styleId="af1">
    <w:name w:val="Revision"/>
    <w:hidden/>
    <w:uiPriority w:val="99"/>
    <w:unhideWhenUsed/>
    <w:rsid w:val="00B2718D"/>
    <w:rPr>
      <w:rFonts w:ascii="宋体" w:hAnsi="宋体" w:cs="宋体"/>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553</Words>
  <Characters>3157</Characters>
  <Application>Microsoft Office Word</Application>
  <DocSecurity>0</DocSecurity>
  <Lines>26</Lines>
  <Paragraphs>7</Paragraphs>
  <ScaleCrop>false</ScaleCrop>
  <Company/>
  <LinksUpToDate>false</LinksUpToDate>
  <CharactersWithSpaces>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Jiajia Li(李佳佳)</dc:creator>
  <cp:lastModifiedBy>杨扬</cp:lastModifiedBy>
  <cp:revision>271</cp:revision>
  <cp:lastPrinted>2024-04-01T03:17:00Z</cp:lastPrinted>
  <dcterms:created xsi:type="dcterms:W3CDTF">2023-09-11T09:27:00Z</dcterms:created>
  <dcterms:modified xsi:type="dcterms:W3CDTF">2025-11-03T08:45:00Z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2021-03-31T00:00:00Z</vt:filetime>
  </property>
  <property fmtid="{D5CDD505-2E9C-101B-9397-08002B2CF9AE}" pid="3" name="Creator">
    <vt:lpwstr>Microsoft® Word 2013</vt:lpwstr>
  </property>
  <property fmtid="{D5CDD505-2E9C-101B-9397-08002B2CF9AE}" pid="4" name="LastSaved">
    <vt:filetime>2021-04-02T00:00:00Z</vt:filetime>
  </property>
  <property fmtid="{D5CDD505-2E9C-101B-9397-08002B2CF9AE}" pid="5" name="KSOProductBuildVer">
    <vt:lpwstr>2052-12.1.0.23125</vt:lpwstr>
  </property>
  <property fmtid="{D5CDD505-2E9C-101B-9397-08002B2CF9AE}" pid="6" name="ICV">
    <vt:lpwstr>3024048F6A8F4396A21E797552D309A0_13</vt:lpwstr>
  </property>
  <property fmtid="{D5CDD505-2E9C-101B-9397-08002B2CF9AE}" pid="7" name="KSOTemplateDocerSaveRecord">
    <vt:lpwstr>eyJoZGlkIjoiMDljMDdhNTg2MjkxNDdhODgzZWYzM2E2M2E2N2I4ZTYiLCJ1c2VySWQiOiIzNzk3OTI5MDcifQ==</vt:lpwstr>
  </property>
</Properties>
</file>